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49" w:rsidRPr="00337C25" w:rsidRDefault="003A1049" w:rsidP="003A1049">
      <w:pPr>
        <w:widowControl/>
        <w:spacing w:after="75" w:line="360" w:lineRule="auto"/>
        <w:jc w:val="center"/>
        <w:rPr>
          <w:rFonts w:ascii="標楷體" w:eastAsia="標楷體" w:hAnsi="標楷體" w:cs="Arial" w:hint="eastAsia"/>
          <w:b/>
          <w:kern w:val="0"/>
          <w:sz w:val="32"/>
          <w:szCs w:val="32"/>
        </w:rPr>
      </w:pPr>
      <w:r w:rsidRPr="00337C25">
        <w:rPr>
          <w:rFonts w:ascii="標楷體" w:eastAsia="標楷體" w:hAnsi="標楷體" w:cs="Arial" w:hint="eastAsia"/>
          <w:b/>
          <w:kern w:val="0"/>
          <w:sz w:val="32"/>
          <w:szCs w:val="32"/>
        </w:rPr>
        <w:t>五專免試入學</w:t>
      </w:r>
    </w:p>
    <w:p w:rsidR="003A1049" w:rsidRPr="00E57F25" w:rsidRDefault="003A1049" w:rsidP="003A1049">
      <w:pPr>
        <w:widowControl/>
        <w:spacing w:after="75" w:line="360" w:lineRule="auto"/>
        <w:rPr>
          <w:rFonts w:ascii="標楷體" w:eastAsia="標楷體" w:hAnsi="標楷體" w:cs="Arial"/>
          <w:kern w:val="0"/>
        </w:rPr>
      </w:pPr>
      <w:r w:rsidRPr="00E57F25">
        <w:rPr>
          <w:rFonts w:ascii="標楷體" w:eastAsia="標楷體" w:hAnsi="標楷體" w:cs="Arial"/>
          <w:kern w:val="0"/>
        </w:rPr>
        <w:t>103學年度起正式實施十二年國民基本教育，國中畢業生升學以免試入學為主要入學管道，若報名人數少於招生名額則全額錄取，若報名人數多於招生名額，則依據免試入學</w:t>
      </w:r>
      <w:proofErr w:type="gramStart"/>
      <w:r w:rsidRPr="00E57F25">
        <w:rPr>
          <w:rFonts w:ascii="標楷體" w:eastAsia="標楷體" w:hAnsi="標楷體" w:cs="Arial"/>
          <w:kern w:val="0"/>
        </w:rPr>
        <w:t>超額比序項目</w:t>
      </w:r>
      <w:proofErr w:type="gramEnd"/>
      <w:r w:rsidRPr="00E57F25">
        <w:rPr>
          <w:rFonts w:ascii="標楷體" w:eastAsia="標楷體" w:hAnsi="標楷體" w:cs="Arial"/>
          <w:kern w:val="0"/>
        </w:rPr>
        <w:t>，</w:t>
      </w:r>
      <w:proofErr w:type="gramStart"/>
      <w:r w:rsidRPr="00E57F25">
        <w:rPr>
          <w:rFonts w:ascii="標楷體" w:eastAsia="標楷體" w:hAnsi="標楷體" w:cs="Arial"/>
          <w:kern w:val="0"/>
        </w:rPr>
        <w:t>採</w:t>
      </w:r>
      <w:proofErr w:type="gramEnd"/>
      <w:r w:rsidRPr="00E57F25">
        <w:rPr>
          <w:rFonts w:ascii="標楷體" w:eastAsia="標楷體" w:hAnsi="標楷體" w:cs="Arial"/>
          <w:kern w:val="0"/>
        </w:rPr>
        <w:t>積分方式</w:t>
      </w:r>
      <w:proofErr w:type="gramStart"/>
      <w:r w:rsidRPr="00E57F25">
        <w:rPr>
          <w:rFonts w:ascii="標楷體" w:eastAsia="標楷體" w:hAnsi="標楷體" w:cs="Arial"/>
          <w:kern w:val="0"/>
        </w:rPr>
        <w:t>進行比序分發</w:t>
      </w:r>
      <w:proofErr w:type="gramEnd"/>
      <w:r w:rsidRPr="00E57F25">
        <w:rPr>
          <w:rFonts w:ascii="標楷體" w:eastAsia="標楷體" w:hAnsi="標楷體" w:cs="Arial"/>
          <w:kern w:val="0"/>
        </w:rPr>
        <w:t>。</w:t>
      </w:r>
    </w:p>
    <w:tbl>
      <w:tblPr>
        <w:tblW w:w="5000" w:type="pct"/>
        <w:tblBorders>
          <w:top w:val="outset" w:sz="12" w:space="0" w:color="2E4352"/>
          <w:left w:val="outset" w:sz="12" w:space="0" w:color="2E4352"/>
          <w:bottom w:val="outset" w:sz="12" w:space="0" w:color="2E4352"/>
          <w:right w:val="outset" w:sz="12" w:space="0" w:color="2E4352"/>
        </w:tblBorders>
        <w:tblCellMar>
          <w:top w:w="20" w:type="dxa"/>
          <w:left w:w="20" w:type="dxa"/>
          <w:bottom w:w="20" w:type="dxa"/>
          <w:right w:w="20" w:type="dxa"/>
        </w:tblCellMar>
        <w:tblLook w:val="04A0" w:firstRow="1" w:lastRow="0" w:firstColumn="1" w:lastColumn="0" w:noHBand="0" w:noVBand="1"/>
      </w:tblPr>
      <w:tblGrid>
        <w:gridCol w:w="1452"/>
        <w:gridCol w:w="8226"/>
      </w:tblGrid>
      <w:tr w:rsidR="003A1049" w:rsidRPr="00E57F25"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jc w:val="center"/>
              <w:rPr>
                <w:rFonts w:ascii="標楷體" w:eastAsia="標楷體" w:hAnsi="標楷體" w:cs="新細明體"/>
                <w:kern w:val="0"/>
              </w:rPr>
            </w:pPr>
            <w:r w:rsidRPr="00E57F25">
              <w:rPr>
                <w:rFonts w:ascii="標楷體" w:eastAsia="標楷體" w:hAnsi="標楷體" w:cs="新細明體"/>
                <w:kern w:val="0"/>
              </w:rPr>
              <w:t>項　　目</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rPr>
                <w:rFonts w:ascii="標楷體" w:eastAsia="標楷體" w:hAnsi="標楷體" w:cs="新細明體"/>
                <w:kern w:val="0"/>
              </w:rPr>
            </w:pPr>
            <w:r w:rsidRPr="00E57F25">
              <w:rPr>
                <w:rFonts w:ascii="標楷體" w:eastAsia="標楷體" w:hAnsi="標楷體" w:cs="新細明體"/>
                <w:kern w:val="0"/>
              </w:rPr>
              <w:t>說　　明</w:t>
            </w:r>
          </w:p>
        </w:tc>
      </w:tr>
      <w:tr w:rsidR="003A1049" w:rsidRPr="00E57F25"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jc w:val="center"/>
              <w:rPr>
                <w:rFonts w:ascii="標楷體" w:eastAsia="標楷體" w:hAnsi="標楷體" w:cs="新細明體"/>
                <w:kern w:val="0"/>
              </w:rPr>
            </w:pPr>
            <w:r w:rsidRPr="00E57F25">
              <w:rPr>
                <w:rFonts w:ascii="標楷體" w:eastAsia="標楷體" w:hAnsi="標楷體" w:cs="新細明體"/>
                <w:kern w:val="0"/>
              </w:rPr>
              <w:t>適合對象</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rPr>
                <w:rFonts w:ascii="標楷體" w:eastAsia="標楷體" w:hAnsi="標楷體" w:cs="新細明體"/>
                <w:kern w:val="0"/>
              </w:rPr>
            </w:pPr>
            <w:r w:rsidRPr="00E57F25">
              <w:rPr>
                <w:rFonts w:ascii="標楷體" w:eastAsia="標楷體" w:hAnsi="標楷體" w:cs="新細明體"/>
                <w:kern w:val="0"/>
              </w:rPr>
              <w:t>公私立國民中學應屆、非應屆畢業生或具同等學力者。</w:t>
            </w:r>
          </w:p>
        </w:tc>
      </w:tr>
      <w:tr w:rsidR="003A1049" w:rsidRPr="00E57F25"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jc w:val="center"/>
              <w:rPr>
                <w:rFonts w:ascii="標楷體" w:eastAsia="標楷體" w:hAnsi="標楷體" w:cs="新細明體"/>
                <w:kern w:val="0"/>
              </w:rPr>
            </w:pPr>
            <w:r w:rsidRPr="00E57F25">
              <w:rPr>
                <w:rFonts w:ascii="標楷體" w:eastAsia="標楷體" w:hAnsi="標楷體" w:cs="新細明體"/>
                <w:kern w:val="0"/>
              </w:rPr>
              <w:t>招生名額</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rPr>
                <w:rFonts w:ascii="標楷體" w:eastAsia="標楷體" w:hAnsi="標楷體" w:cs="新細明體"/>
                <w:kern w:val="0"/>
              </w:rPr>
            </w:pPr>
            <w:r w:rsidRPr="00E57F25">
              <w:rPr>
                <w:rFonts w:ascii="標楷體" w:eastAsia="標楷體" w:hAnsi="標楷體" w:cs="新細明體"/>
                <w:kern w:val="0"/>
              </w:rPr>
              <w:t>103學年度北、中、南三區五專聯合免試入學總招生名額共20,306名。</w:t>
            </w:r>
          </w:p>
        </w:tc>
      </w:tr>
      <w:tr w:rsidR="003A1049" w:rsidRPr="00E57F25"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jc w:val="center"/>
              <w:rPr>
                <w:rFonts w:ascii="標楷體" w:eastAsia="標楷體" w:hAnsi="標楷體" w:cs="新細明體"/>
                <w:b/>
                <w:kern w:val="0"/>
              </w:rPr>
            </w:pPr>
            <w:r w:rsidRPr="00E57F25">
              <w:rPr>
                <w:rFonts w:ascii="標楷體" w:eastAsia="標楷體" w:hAnsi="標楷體" w:cs="新細明體"/>
                <w:b/>
                <w:kern w:val="0"/>
              </w:rPr>
              <w:t>實施範圍</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rPr>
                <w:rFonts w:ascii="標楷體" w:eastAsia="標楷體" w:hAnsi="標楷體" w:cs="新細明體"/>
                <w:b/>
                <w:kern w:val="0"/>
              </w:rPr>
            </w:pPr>
            <w:r w:rsidRPr="00E57F25">
              <w:rPr>
                <w:rFonts w:ascii="標楷體" w:eastAsia="標楷體" w:hAnsi="標楷體" w:cs="新細明體"/>
                <w:b/>
                <w:kern w:val="0"/>
              </w:rPr>
              <w:t>分北、中、南3個招生區，考生不限原就讀國中地點，皆可向北、中、南區聯合免試入學招生委員會報名，各區限擇</w:t>
            </w:r>
            <w:proofErr w:type="gramStart"/>
            <w:r w:rsidRPr="00E57F25">
              <w:rPr>
                <w:rFonts w:ascii="標楷體" w:eastAsia="標楷體" w:hAnsi="標楷體" w:cs="新細明體"/>
                <w:b/>
                <w:kern w:val="0"/>
              </w:rPr>
              <w:t>一</w:t>
            </w:r>
            <w:proofErr w:type="gramEnd"/>
            <w:r w:rsidRPr="00E57F25">
              <w:rPr>
                <w:rFonts w:ascii="標楷體" w:eastAsia="標楷體" w:hAnsi="標楷體" w:cs="新細明體"/>
                <w:b/>
                <w:kern w:val="0"/>
              </w:rPr>
              <w:t>五專招生學校提出申請。</w:t>
            </w:r>
          </w:p>
        </w:tc>
      </w:tr>
      <w:tr w:rsidR="003A1049" w:rsidRPr="00E57F25"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jc w:val="center"/>
              <w:rPr>
                <w:rFonts w:ascii="標楷體" w:eastAsia="標楷體" w:hAnsi="標楷體" w:cs="新細明體"/>
                <w:kern w:val="0"/>
              </w:rPr>
            </w:pPr>
            <w:r w:rsidRPr="00E57F25">
              <w:rPr>
                <w:rFonts w:ascii="標楷體" w:eastAsia="標楷體" w:hAnsi="標楷體" w:cs="新細明體"/>
                <w:kern w:val="0"/>
              </w:rPr>
              <w:t>報名方式</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337C25" w:rsidRDefault="003A1049" w:rsidP="00C50841">
            <w:pPr>
              <w:widowControl/>
              <w:ind w:leftChars="45" w:left="108" w:firstLine="2"/>
              <w:rPr>
                <w:rFonts w:ascii="標楷體" w:eastAsia="標楷體" w:hAnsi="標楷體" w:cs="新細明體" w:hint="eastAsia"/>
                <w:kern w:val="0"/>
              </w:rPr>
            </w:pPr>
            <w:r w:rsidRPr="00E57F25">
              <w:rPr>
                <w:rFonts w:ascii="標楷體" w:eastAsia="標楷體" w:hAnsi="標楷體" w:cs="新細明體"/>
                <w:kern w:val="0"/>
              </w:rPr>
              <w:t>1.報名方式：可</w:t>
            </w:r>
            <w:proofErr w:type="gramStart"/>
            <w:r w:rsidRPr="00E57F25">
              <w:rPr>
                <w:rFonts w:ascii="標楷體" w:eastAsia="標楷體" w:hAnsi="標楷體" w:cs="新細明體"/>
                <w:kern w:val="0"/>
              </w:rPr>
              <w:t>採</w:t>
            </w:r>
            <w:proofErr w:type="gramEnd"/>
            <w:r w:rsidRPr="00E57F25">
              <w:rPr>
                <w:rFonts w:ascii="標楷體" w:eastAsia="標楷體" w:hAnsi="標楷體" w:cs="新細明體"/>
                <w:kern w:val="0"/>
              </w:rPr>
              <w:t>國中集體報名或個別報名。</w:t>
            </w:r>
          </w:p>
          <w:p w:rsidR="003A1049" w:rsidRPr="00337C25" w:rsidRDefault="003A1049" w:rsidP="00C50841">
            <w:pPr>
              <w:widowControl/>
              <w:ind w:leftChars="45" w:left="108" w:rightChars="58" w:right="139" w:firstLine="2"/>
              <w:rPr>
                <w:rFonts w:ascii="標楷體" w:eastAsia="標楷體" w:hAnsi="標楷體" w:cs="新細明體" w:hint="eastAsia"/>
                <w:kern w:val="0"/>
              </w:rPr>
            </w:pPr>
            <w:r w:rsidRPr="00337C25">
              <w:rPr>
                <w:rFonts w:ascii="標楷體" w:eastAsia="標楷體" w:hAnsi="標楷體" w:cs="新細明體" w:hint="eastAsia"/>
                <w:kern w:val="0"/>
              </w:rPr>
              <w:t>2.</w:t>
            </w:r>
            <w:r w:rsidRPr="00E57F25">
              <w:rPr>
                <w:rFonts w:ascii="標楷體" w:eastAsia="標楷體" w:hAnsi="標楷體" w:cs="新細明體"/>
                <w:kern w:val="0"/>
              </w:rPr>
              <w:t>報名日期：103年6月11日(星期三)~6月13日(星期五)。</w:t>
            </w:r>
            <w:r w:rsidRPr="00E57F25">
              <w:rPr>
                <w:rFonts w:ascii="標楷體" w:eastAsia="標楷體" w:hAnsi="標楷體" w:cs="新細明體"/>
                <w:kern w:val="0"/>
              </w:rPr>
              <w:br/>
              <w:t>3.五專免試入學分北、中、南3區辦理招生作業，考生於擇定一所欲就讀之</w:t>
            </w:r>
            <w:r w:rsidRPr="00337C25">
              <w:rPr>
                <w:rFonts w:ascii="標楷體" w:eastAsia="標楷體" w:hAnsi="標楷體" w:cs="新細明體" w:hint="eastAsia"/>
                <w:kern w:val="0"/>
              </w:rPr>
              <w:t xml:space="preserve">    </w:t>
            </w:r>
          </w:p>
          <w:p w:rsidR="003A1049" w:rsidRPr="00337C25" w:rsidRDefault="003A1049" w:rsidP="00C50841">
            <w:pPr>
              <w:widowControl/>
              <w:ind w:leftChars="45" w:left="108" w:rightChars="58" w:right="139" w:firstLineChars="100" w:firstLine="240"/>
              <w:rPr>
                <w:rFonts w:ascii="標楷體" w:eastAsia="標楷體" w:hAnsi="標楷體" w:cs="新細明體" w:hint="eastAsia"/>
                <w:kern w:val="0"/>
              </w:rPr>
            </w:pPr>
            <w:r w:rsidRPr="00E57F25">
              <w:rPr>
                <w:rFonts w:ascii="標楷體" w:eastAsia="標楷體" w:hAnsi="標楷體" w:cs="新細明體"/>
                <w:kern w:val="0"/>
              </w:rPr>
              <w:t>五專招生學校後，向該校所屬該區招生委員會辦理報名。</w:t>
            </w:r>
            <w:r w:rsidRPr="00E57F25">
              <w:rPr>
                <w:rFonts w:ascii="標楷體" w:eastAsia="標楷體" w:hAnsi="標楷體" w:cs="新細明體"/>
                <w:kern w:val="0"/>
              </w:rPr>
              <w:br/>
              <w:t>4.考生僅</w:t>
            </w:r>
            <w:r w:rsidRPr="00E57F25">
              <w:rPr>
                <w:rFonts w:ascii="標楷體" w:eastAsia="標楷體" w:hAnsi="標楷體" w:cs="新細明體"/>
                <w:b/>
                <w:kern w:val="0"/>
              </w:rPr>
              <w:t>得就各區招生學校擇一校報名</w:t>
            </w:r>
            <w:r w:rsidRPr="00E57F25">
              <w:rPr>
                <w:rFonts w:ascii="標楷體" w:eastAsia="標楷體" w:hAnsi="標楷體" w:cs="新細明體"/>
                <w:kern w:val="0"/>
              </w:rPr>
              <w:t>，惟若有升學需求可同時向北、中、</w:t>
            </w:r>
          </w:p>
          <w:p w:rsidR="003A1049" w:rsidRPr="00E57F25" w:rsidRDefault="003A1049" w:rsidP="00C50841">
            <w:pPr>
              <w:widowControl/>
              <w:ind w:leftChars="45" w:left="108" w:rightChars="58" w:right="139" w:firstLineChars="100" w:firstLine="240"/>
              <w:rPr>
                <w:rFonts w:ascii="標楷體" w:eastAsia="標楷體" w:hAnsi="標楷體" w:cs="新細明體"/>
                <w:kern w:val="0"/>
              </w:rPr>
            </w:pPr>
            <w:r w:rsidRPr="00E57F25">
              <w:rPr>
                <w:rFonts w:ascii="標楷體" w:eastAsia="標楷體" w:hAnsi="標楷體" w:cs="新細明體"/>
                <w:kern w:val="0"/>
              </w:rPr>
              <w:t>南3區招生委員會報名，但</w:t>
            </w:r>
            <w:r w:rsidRPr="00E57F25">
              <w:rPr>
                <w:rFonts w:ascii="標楷體" w:eastAsia="標楷體" w:hAnsi="標楷體" w:cs="新細明體"/>
                <w:b/>
                <w:kern w:val="0"/>
              </w:rPr>
              <w:t>僅能擇</w:t>
            </w:r>
            <w:proofErr w:type="gramStart"/>
            <w:r w:rsidRPr="00E57F25">
              <w:rPr>
                <w:rFonts w:ascii="標楷體" w:eastAsia="標楷體" w:hAnsi="標楷體" w:cs="新細明體"/>
                <w:b/>
                <w:kern w:val="0"/>
              </w:rPr>
              <w:t>一</w:t>
            </w:r>
            <w:proofErr w:type="gramEnd"/>
            <w:r w:rsidRPr="00E57F25">
              <w:rPr>
                <w:rFonts w:ascii="標楷體" w:eastAsia="標楷體" w:hAnsi="標楷體" w:cs="新細明體"/>
                <w:b/>
                <w:kern w:val="0"/>
              </w:rPr>
              <w:t>招生學校參加現場登記分發報到。</w:t>
            </w:r>
          </w:p>
        </w:tc>
      </w:tr>
      <w:tr w:rsidR="003A1049" w:rsidRPr="00E57F25"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jc w:val="center"/>
              <w:rPr>
                <w:rFonts w:ascii="標楷體" w:eastAsia="標楷體" w:hAnsi="標楷體" w:cs="新細明體"/>
                <w:kern w:val="0"/>
              </w:rPr>
            </w:pPr>
            <w:r w:rsidRPr="00E57F25">
              <w:rPr>
                <w:rFonts w:ascii="標楷體" w:eastAsia="標楷體" w:hAnsi="標楷體" w:cs="新細明體"/>
                <w:kern w:val="0"/>
              </w:rPr>
              <w:t>錄取方式</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337C25" w:rsidRDefault="003A1049" w:rsidP="00C50841">
            <w:pPr>
              <w:widowControl/>
              <w:ind w:leftChars="45" w:left="108"/>
              <w:rPr>
                <w:rFonts w:ascii="標楷體" w:eastAsia="標楷體" w:hAnsi="標楷體" w:cs="新細明體" w:hint="eastAsia"/>
                <w:kern w:val="0"/>
              </w:rPr>
            </w:pPr>
            <w:r w:rsidRPr="00E57F25">
              <w:rPr>
                <w:rFonts w:ascii="標楷體" w:eastAsia="標楷體" w:hAnsi="標楷體" w:cs="新細明體"/>
                <w:kern w:val="0"/>
              </w:rPr>
              <w:t>1.五專免試入學</w:t>
            </w:r>
            <w:proofErr w:type="gramStart"/>
            <w:r w:rsidRPr="00E57F25">
              <w:rPr>
                <w:rFonts w:ascii="標楷體" w:eastAsia="標楷體" w:hAnsi="標楷體" w:cs="新細明體"/>
                <w:kern w:val="0"/>
              </w:rPr>
              <w:t>採</w:t>
            </w:r>
            <w:proofErr w:type="gramEnd"/>
            <w:r w:rsidRPr="00E57F25">
              <w:rPr>
                <w:rFonts w:ascii="標楷體" w:eastAsia="標楷體" w:hAnsi="標楷體" w:cs="新細明體"/>
                <w:kern w:val="0"/>
              </w:rPr>
              <w:t>現場登記分發報到方式辦理，考生應依報名學校規定參加</w:t>
            </w:r>
          </w:p>
          <w:p w:rsidR="003A1049" w:rsidRPr="00337C25" w:rsidRDefault="003A1049" w:rsidP="00C50841">
            <w:pPr>
              <w:widowControl/>
              <w:ind w:leftChars="45" w:left="108" w:firstLineChars="100" w:firstLine="240"/>
              <w:rPr>
                <w:rFonts w:ascii="標楷體" w:eastAsia="標楷體" w:hAnsi="標楷體" w:cs="新細明體" w:hint="eastAsia"/>
                <w:b/>
                <w:kern w:val="0"/>
              </w:rPr>
            </w:pPr>
            <w:r w:rsidRPr="00E57F25">
              <w:rPr>
                <w:rFonts w:ascii="標楷體" w:eastAsia="標楷體" w:hAnsi="標楷體" w:cs="新細明體"/>
                <w:kern w:val="0"/>
              </w:rPr>
              <w:t>現場登記分發報到，若報名人數少於</w:t>
            </w:r>
            <w:proofErr w:type="gramStart"/>
            <w:r w:rsidRPr="00E57F25">
              <w:rPr>
                <w:rFonts w:ascii="標楷體" w:eastAsia="標楷體" w:hAnsi="標楷體" w:cs="新細明體"/>
                <w:kern w:val="0"/>
              </w:rPr>
              <w:t>學校科組招生</w:t>
            </w:r>
            <w:proofErr w:type="gramEnd"/>
            <w:r w:rsidRPr="00E57F25">
              <w:rPr>
                <w:rFonts w:ascii="標楷體" w:eastAsia="標楷體" w:hAnsi="標楷體" w:cs="新細明體"/>
                <w:kern w:val="0"/>
              </w:rPr>
              <w:t>名額則全額錄取，</w:t>
            </w:r>
            <w:r w:rsidRPr="00E57F25">
              <w:rPr>
                <w:rFonts w:ascii="標楷體" w:eastAsia="標楷體" w:hAnsi="標楷體" w:cs="新細明體"/>
                <w:b/>
                <w:kern w:val="0"/>
              </w:rPr>
              <w:t>報名</w:t>
            </w:r>
          </w:p>
          <w:p w:rsidR="003A1049" w:rsidRPr="00337C25" w:rsidRDefault="003A1049" w:rsidP="00C50841">
            <w:pPr>
              <w:widowControl/>
              <w:ind w:leftChars="45" w:left="108" w:firstLineChars="100" w:firstLine="240"/>
              <w:rPr>
                <w:rFonts w:ascii="標楷體" w:eastAsia="標楷體" w:hAnsi="標楷體" w:cs="新細明體" w:hint="eastAsia"/>
                <w:b/>
                <w:kern w:val="0"/>
              </w:rPr>
            </w:pPr>
            <w:r w:rsidRPr="00E57F25">
              <w:rPr>
                <w:rFonts w:ascii="標楷體" w:eastAsia="標楷體" w:hAnsi="標楷體" w:cs="新細明體"/>
                <w:b/>
                <w:kern w:val="0"/>
              </w:rPr>
              <w:t>人數多於</w:t>
            </w:r>
            <w:proofErr w:type="gramStart"/>
            <w:r w:rsidRPr="00E57F25">
              <w:rPr>
                <w:rFonts w:ascii="標楷體" w:eastAsia="標楷體" w:hAnsi="標楷體" w:cs="新細明體"/>
                <w:b/>
                <w:kern w:val="0"/>
              </w:rPr>
              <w:t>學校科組招生</w:t>
            </w:r>
            <w:proofErr w:type="gramEnd"/>
            <w:r w:rsidRPr="00E57F25">
              <w:rPr>
                <w:rFonts w:ascii="標楷體" w:eastAsia="標楷體" w:hAnsi="標楷體" w:cs="新細明體"/>
                <w:b/>
                <w:kern w:val="0"/>
              </w:rPr>
              <w:t>名額則依據免試入學</w:t>
            </w:r>
            <w:proofErr w:type="gramStart"/>
            <w:r w:rsidRPr="00E57F25">
              <w:rPr>
                <w:rFonts w:ascii="標楷體" w:eastAsia="標楷體" w:hAnsi="標楷體" w:cs="新細明體"/>
                <w:b/>
                <w:kern w:val="0"/>
              </w:rPr>
              <w:t>超額比序項目進行比序</w:t>
            </w:r>
            <w:proofErr w:type="gramEnd"/>
            <w:r w:rsidRPr="00E57F25">
              <w:rPr>
                <w:rFonts w:ascii="標楷體" w:eastAsia="標楷體" w:hAnsi="標楷體" w:cs="新細明體"/>
                <w:b/>
                <w:kern w:val="0"/>
              </w:rPr>
              <w:t>，以積</w:t>
            </w:r>
          </w:p>
          <w:p w:rsidR="003A1049" w:rsidRPr="00337C25" w:rsidRDefault="003A1049" w:rsidP="00C50841">
            <w:pPr>
              <w:widowControl/>
              <w:ind w:leftChars="45" w:left="108" w:firstLineChars="100" w:firstLine="240"/>
              <w:rPr>
                <w:rFonts w:ascii="標楷體" w:eastAsia="標楷體" w:hAnsi="標楷體" w:cs="新細明體" w:hint="eastAsia"/>
                <w:kern w:val="0"/>
              </w:rPr>
            </w:pPr>
            <w:r w:rsidRPr="00E57F25">
              <w:rPr>
                <w:rFonts w:ascii="標楷體" w:eastAsia="標楷體" w:hAnsi="標楷體" w:cs="新細明體"/>
                <w:b/>
                <w:kern w:val="0"/>
              </w:rPr>
              <w:t>分高低作為分發依據。</w:t>
            </w:r>
            <w:r w:rsidRPr="00337C25">
              <w:rPr>
                <w:rFonts w:ascii="標楷體" w:eastAsia="標楷體" w:hAnsi="標楷體" w:cs="新細明體" w:hint="eastAsia"/>
                <w:b/>
                <w:kern w:val="0"/>
              </w:rPr>
              <w:t>(</w:t>
            </w:r>
            <w:proofErr w:type="gramStart"/>
            <w:r w:rsidRPr="00337C25">
              <w:rPr>
                <w:rFonts w:ascii="標楷體" w:eastAsia="標楷體" w:hAnsi="標楷體" w:cs="新細明體" w:hint="eastAsia"/>
                <w:b/>
                <w:kern w:val="0"/>
              </w:rPr>
              <w:t>採現場撕榜方式</w:t>
            </w:r>
            <w:proofErr w:type="gramEnd"/>
            <w:r w:rsidRPr="00337C25">
              <w:rPr>
                <w:rFonts w:ascii="標楷體" w:eastAsia="標楷體" w:hAnsi="標楷體" w:cs="新細明體" w:hint="eastAsia"/>
                <w:b/>
                <w:kern w:val="0"/>
              </w:rPr>
              <w:t>分發)</w:t>
            </w:r>
            <w:r w:rsidRPr="00E57F25">
              <w:rPr>
                <w:rFonts w:ascii="標楷體" w:eastAsia="標楷體" w:hAnsi="標楷體" w:cs="新細明體"/>
                <w:kern w:val="0"/>
              </w:rPr>
              <w:br/>
              <w:t>2.有關五專</w:t>
            </w:r>
            <w:proofErr w:type="gramStart"/>
            <w:r w:rsidRPr="00E57F25">
              <w:rPr>
                <w:rFonts w:ascii="標楷體" w:eastAsia="標楷體" w:hAnsi="標楷體" w:cs="新細明體"/>
                <w:kern w:val="0"/>
              </w:rPr>
              <w:t>超額比序項目</w:t>
            </w:r>
            <w:proofErr w:type="gramEnd"/>
            <w:r w:rsidRPr="00E57F25">
              <w:rPr>
                <w:rFonts w:ascii="標楷體" w:eastAsia="標楷體" w:hAnsi="標楷體" w:cs="新細明體"/>
                <w:kern w:val="0"/>
              </w:rPr>
              <w:t>及順序說明請詳見《</w:t>
            </w:r>
            <w:hyperlink r:id="rId6" w:history="1">
              <w:r w:rsidRPr="00337C25">
                <w:rPr>
                  <w:rFonts w:ascii="標楷體" w:eastAsia="標楷體" w:hAnsi="標楷體" w:cs="新細明體"/>
                  <w:kern w:val="0"/>
                </w:rPr>
                <w:t>五專免試入學超額比序</w:t>
              </w:r>
            </w:hyperlink>
            <w:r w:rsidRPr="00E57F25">
              <w:rPr>
                <w:rFonts w:ascii="標楷體" w:eastAsia="標楷體" w:hAnsi="標楷體" w:cs="新細明體"/>
                <w:kern w:val="0"/>
              </w:rPr>
              <w:t>》　網頁</w:t>
            </w:r>
          </w:p>
          <w:p w:rsidR="003A1049" w:rsidRPr="00E57F25" w:rsidRDefault="003A1049" w:rsidP="00C50841">
            <w:pPr>
              <w:widowControl/>
              <w:ind w:leftChars="45" w:left="108" w:firstLineChars="100" w:firstLine="240"/>
              <w:rPr>
                <w:rFonts w:ascii="標楷體" w:eastAsia="標楷體" w:hAnsi="標楷體" w:cs="新細明體"/>
                <w:kern w:val="0"/>
              </w:rPr>
            </w:pPr>
            <w:r w:rsidRPr="00E57F25">
              <w:rPr>
                <w:rFonts w:ascii="標楷體" w:eastAsia="標楷體" w:hAnsi="標楷體" w:cs="新細明體"/>
                <w:kern w:val="0"/>
              </w:rPr>
              <w:t>說明。</w:t>
            </w:r>
            <w:r w:rsidRPr="00E57F25">
              <w:rPr>
                <w:rFonts w:ascii="標楷體" w:eastAsia="標楷體" w:hAnsi="標楷體" w:cs="新細明體"/>
                <w:kern w:val="0"/>
              </w:rPr>
              <w:br/>
              <w:t>3.</w:t>
            </w:r>
            <w:proofErr w:type="gramStart"/>
            <w:r w:rsidRPr="00E57F25">
              <w:rPr>
                <w:rFonts w:ascii="標楷體" w:eastAsia="標楷體" w:hAnsi="標楷體" w:cs="新細明體"/>
                <w:kern w:val="0"/>
              </w:rPr>
              <w:t>各校寄發現</w:t>
            </w:r>
            <w:proofErr w:type="gramEnd"/>
            <w:r w:rsidRPr="00E57F25">
              <w:rPr>
                <w:rFonts w:ascii="標楷體" w:eastAsia="標楷體" w:hAnsi="標楷體" w:cs="新細明體"/>
                <w:kern w:val="0"/>
              </w:rPr>
              <w:t>場登記分發報到通知單日期：103年6月17日(星期二)。</w:t>
            </w:r>
            <w:r w:rsidRPr="00E57F25">
              <w:rPr>
                <w:rFonts w:ascii="標楷體" w:eastAsia="標楷體" w:hAnsi="標楷體" w:cs="新細明體"/>
                <w:kern w:val="0"/>
              </w:rPr>
              <w:br/>
              <w:t>4.現場登記分發日期：103年6月21日(星期六)。</w:t>
            </w:r>
            <w:r w:rsidRPr="00E57F25">
              <w:rPr>
                <w:rFonts w:ascii="標楷體" w:eastAsia="標楷體" w:hAnsi="標楷體" w:cs="新細明體"/>
                <w:kern w:val="0"/>
              </w:rPr>
              <w:br/>
              <w:t>5.現場登記分發地點：各五專免試入學招生學校。</w:t>
            </w:r>
          </w:p>
        </w:tc>
      </w:tr>
      <w:tr w:rsidR="003A1049" w:rsidRPr="00E57F25"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jc w:val="center"/>
              <w:rPr>
                <w:rFonts w:ascii="標楷體" w:eastAsia="標楷體" w:hAnsi="標楷體" w:cs="新細明體"/>
                <w:kern w:val="0"/>
              </w:rPr>
            </w:pPr>
            <w:r w:rsidRPr="00E57F25">
              <w:rPr>
                <w:rFonts w:ascii="標楷體" w:eastAsia="標楷體" w:hAnsi="標楷體" w:cs="新細明體"/>
                <w:kern w:val="0"/>
              </w:rPr>
              <w:t>招生</w:t>
            </w:r>
            <w:proofErr w:type="gramStart"/>
            <w:r w:rsidRPr="00E57F25">
              <w:rPr>
                <w:rFonts w:ascii="標楷體" w:eastAsia="標楷體" w:hAnsi="標楷體" w:cs="新細明體"/>
                <w:kern w:val="0"/>
              </w:rPr>
              <w:t>委員會官網</w:t>
            </w:r>
            <w:proofErr w:type="gramEnd"/>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E57F25" w:rsidRDefault="003A1049" w:rsidP="00C50841">
            <w:pPr>
              <w:widowControl/>
              <w:ind w:leftChars="45" w:left="108"/>
              <w:rPr>
                <w:rFonts w:ascii="標楷體" w:eastAsia="標楷體" w:hAnsi="標楷體" w:cs="新細明體"/>
                <w:kern w:val="0"/>
              </w:rPr>
            </w:pPr>
            <w:r w:rsidRPr="00E57F25">
              <w:rPr>
                <w:rFonts w:ascii="標楷體" w:eastAsia="標楷體" w:hAnsi="標楷體" w:cs="新細明體"/>
                <w:kern w:val="0"/>
              </w:rPr>
              <w:t>1.北區五專聯合免試入學招生委員會(蘭陽技術學院承辦)：</w:t>
            </w:r>
            <w:r w:rsidRPr="00E57F25">
              <w:rPr>
                <w:rFonts w:ascii="標楷體" w:eastAsia="標楷體" w:hAnsi="標楷體" w:cs="新細明體"/>
                <w:kern w:val="0"/>
              </w:rPr>
              <w:br/>
              <w:t xml:space="preserve">　</w:t>
            </w:r>
            <w:hyperlink r:id="rId7" w:tgtFrame="_blank" w:history="1">
              <w:r w:rsidRPr="00337C25">
                <w:rPr>
                  <w:rFonts w:ascii="標楷體" w:eastAsia="標楷體" w:hAnsi="標楷體" w:cs="新細明體"/>
                  <w:kern w:val="0"/>
                </w:rPr>
                <w:t>http://enter5.fit.edu.tw/</w:t>
              </w:r>
            </w:hyperlink>
            <w:r w:rsidRPr="00E57F25">
              <w:rPr>
                <w:rFonts w:ascii="標楷體" w:eastAsia="標楷體" w:hAnsi="標楷體" w:cs="新細明體"/>
                <w:kern w:val="0"/>
              </w:rPr>
              <w:br/>
              <w:t>2.中區五專聯合免試入學招生委員會(仁德醫護管理專科學校承辦)：</w:t>
            </w:r>
            <w:r w:rsidRPr="00E57F25">
              <w:rPr>
                <w:rFonts w:ascii="標楷體" w:eastAsia="標楷體" w:hAnsi="標楷體" w:cs="新細明體"/>
                <w:kern w:val="0"/>
              </w:rPr>
              <w:br/>
              <w:t xml:space="preserve">　</w:t>
            </w:r>
            <w:hyperlink r:id="rId8" w:tgtFrame="_blank" w:history="1">
              <w:r w:rsidRPr="00337C25">
                <w:rPr>
                  <w:rFonts w:ascii="標楷體" w:eastAsia="標楷體" w:hAnsi="標楷體" w:cs="新細明體"/>
                  <w:kern w:val="0"/>
                </w:rPr>
                <w:t>http://exam.jente.edu.tw/</w:t>
              </w:r>
            </w:hyperlink>
            <w:r w:rsidRPr="00E57F25">
              <w:rPr>
                <w:rFonts w:ascii="標楷體" w:eastAsia="標楷體" w:hAnsi="標楷體" w:cs="新細明體"/>
                <w:kern w:val="0"/>
              </w:rPr>
              <w:br/>
              <w:t>3.南區五專聯合免試入學招生委員會(樹人醫護管理專科學校承辦)：</w:t>
            </w:r>
            <w:r w:rsidRPr="00E57F25">
              <w:rPr>
                <w:rFonts w:ascii="標楷體" w:eastAsia="標楷體" w:hAnsi="標楷體" w:cs="新細明體"/>
                <w:kern w:val="0"/>
              </w:rPr>
              <w:br/>
              <w:t xml:space="preserve">　</w:t>
            </w:r>
            <w:hyperlink r:id="rId9" w:tgtFrame="_blank" w:history="1">
              <w:r w:rsidRPr="00337C25">
                <w:rPr>
                  <w:rFonts w:ascii="標楷體" w:eastAsia="標楷體" w:hAnsi="標楷體" w:cs="新細明體"/>
                  <w:kern w:val="0"/>
                </w:rPr>
                <w:t>http://s5.szmc.edu.tw/</w:t>
              </w:r>
            </w:hyperlink>
          </w:p>
        </w:tc>
      </w:tr>
    </w:tbl>
    <w:p w:rsidR="003A1049" w:rsidRDefault="003A1049" w:rsidP="003A1049">
      <w:pPr>
        <w:widowControl/>
        <w:shd w:val="clear" w:color="auto" w:fill="FFFFFF"/>
        <w:spacing w:before="300" w:after="150"/>
        <w:outlineLvl w:val="2"/>
        <w:rPr>
          <w:rFonts w:ascii="Arial" w:hAnsi="Arial" w:cs="Arial" w:hint="eastAsia"/>
          <w:b/>
          <w:bCs/>
          <w:color w:val="FFFFFF"/>
          <w:kern w:val="0"/>
          <w:sz w:val="22"/>
          <w:szCs w:val="22"/>
        </w:rPr>
      </w:pPr>
    </w:p>
    <w:p w:rsidR="003A1049" w:rsidRDefault="003A1049" w:rsidP="003A1049">
      <w:pPr>
        <w:widowControl/>
        <w:shd w:val="clear" w:color="auto" w:fill="FFFFFF"/>
        <w:spacing w:before="300" w:after="150"/>
        <w:outlineLvl w:val="2"/>
        <w:rPr>
          <w:rFonts w:ascii="Arial" w:hAnsi="Arial" w:cs="Arial" w:hint="eastAsia"/>
          <w:b/>
          <w:bCs/>
          <w:color w:val="FFFFFF"/>
          <w:kern w:val="0"/>
          <w:sz w:val="22"/>
          <w:szCs w:val="22"/>
        </w:rPr>
      </w:pPr>
    </w:p>
    <w:p w:rsidR="003A1049" w:rsidRDefault="003A1049" w:rsidP="003A1049">
      <w:pPr>
        <w:widowControl/>
        <w:shd w:val="clear" w:color="auto" w:fill="FFFFFF"/>
        <w:spacing w:before="300" w:after="150"/>
        <w:outlineLvl w:val="2"/>
        <w:rPr>
          <w:rFonts w:ascii="Arial" w:hAnsi="Arial" w:cs="Arial" w:hint="eastAsia"/>
          <w:b/>
          <w:bCs/>
          <w:color w:val="FFFFFF"/>
          <w:kern w:val="0"/>
          <w:sz w:val="22"/>
          <w:szCs w:val="22"/>
        </w:rPr>
      </w:pPr>
    </w:p>
    <w:p w:rsidR="003A1049" w:rsidRPr="00B74181" w:rsidRDefault="003A1049" w:rsidP="003A1049">
      <w:pPr>
        <w:widowControl/>
        <w:shd w:val="clear" w:color="auto" w:fill="FFFFFF"/>
        <w:spacing w:line="560" w:lineRule="exact"/>
        <w:jc w:val="center"/>
        <w:outlineLvl w:val="2"/>
        <w:rPr>
          <w:rFonts w:ascii="Arial" w:hAnsi="Arial" w:cs="Arial"/>
          <w:b/>
          <w:bCs/>
          <w:color w:val="FFFFFF"/>
          <w:kern w:val="0"/>
          <w:sz w:val="22"/>
          <w:szCs w:val="22"/>
        </w:rPr>
      </w:pPr>
      <w:r w:rsidRPr="00971A90">
        <w:rPr>
          <w:rFonts w:ascii="標楷體" w:eastAsia="標楷體" w:hAnsi="標楷體" w:cs="Arial"/>
          <w:b/>
          <w:sz w:val="32"/>
          <w:szCs w:val="32"/>
        </w:rPr>
        <w:lastRenderedPageBreak/>
        <w:t>五專免試入學</w:t>
      </w:r>
      <w:proofErr w:type="gramStart"/>
      <w:r w:rsidRPr="00971A90">
        <w:rPr>
          <w:rFonts w:ascii="標楷體" w:eastAsia="標楷體" w:hAnsi="標楷體" w:cs="Arial"/>
          <w:b/>
          <w:sz w:val="32"/>
          <w:szCs w:val="32"/>
        </w:rPr>
        <w:t>超額比序項目</w:t>
      </w:r>
      <w:proofErr w:type="gramEnd"/>
      <w:r w:rsidRPr="00971A90">
        <w:rPr>
          <w:rFonts w:ascii="標楷體" w:eastAsia="標楷體" w:hAnsi="標楷體" w:cs="Arial"/>
          <w:b/>
          <w:sz w:val="32"/>
          <w:szCs w:val="32"/>
        </w:rPr>
        <w:t>積分對照表</w:t>
      </w:r>
    </w:p>
    <w:tbl>
      <w:tblPr>
        <w:tblW w:w="5000" w:type="pct"/>
        <w:tblBorders>
          <w:top w:val="outset" w:sz="12" w:space="0" w:color="2E4352"/>
          <w:left w:val="outset" w:sz="12" w:space="0" w:color="2E4352"/>
          <w:bottom w:val="outset" w:sz="12" w:space="0" w:color="2E4352"/>
          <w:right w:val="outset" w:sz="12" w:space="0" w:color="2E4352"/>
        </w:tblBorders>
        <w:tblCellMar>
          <w:top w:w="20" w:type="dxa"/>
          <w:left w:w="20" w:type="dxa"/>
          <w:bottom w:w="20" w:type="dxa"/>
          <w:right w:w="20" w:type="dxa"/>
        </w:tblCellMar>
        <w:tblLook w:val="04A0" w:firstRow="1" w:lastRow="0" w:firstColumn="1" w:lastColumn="0" w:noHBand="0" w:noVBand="1"/>
      </w:tblPr>
      <w:tblGrid>
        <w:gridCol w:w="290"/>
        <w:gridCol w:w="1148"/>
        <w:gridCol w:w="2046"/>
        <w:gridCol w:w="1742"/>
        <w:gridCol w:w="1742"/>
        <w:gridCol w:w="1742"/>
        <w:gridCol w:w="484"/>
        <w:gridCol w:w="484"/>
      </w:tblGrid>
      <w:tr w:rsidR="003A1049" w:rsidRPr="00B74181" w:rsidTr="003A1049">
        <w:trPr>
          <w:trHeight w:val="244"/>
        </w:trPr>
        <w:tc>
          <w:tcPr>
            <w:tcW w:w="743" w:type="pct"/>
            <w:gridSpan w:val="2"/>
            <w:vMerge w:val="restar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proofErr w:type="gramStart"/>
            <w:r w:rsidRPr="00B74181">
              <w:rPr>
                <w:rFonts w:ascii="標楷體" w:eastAsia="標楷體" w:hAnsi="標楷體" w:cs="新細明體"/>
                <w:kern w:val="0"/>
                <w:sz w:val="20"/>
                <w:szCs w:val="20"/>
              </w:rPr>
              <w:t>比序項目</w:t>
            </w:r>
            <w:proofErr w:type="gramEnd"/>
          </w:p>
        </w:tc>
        <w:tc>
          <w:tcPr>
            <w:tcW w:w="4007" w:type="pct"/>
            <w:gridSpan w:val="5"/>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層級與積分</w:t>
            </w:r>
          </w:p>
        </w:tc>
        <w:tc>
          <w:tcPr>
            <w:tcW w:w="250" w:type="pct"/>
            <w:vMerge w:val="restar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積分上限</w:t>
            </w:r>
          </w:p>
        </w:tc>
      </w:tr>
      <w:tr w:rsidR="003A1049" w:rsidRPr="00B74181" w:rsidTr="00C50841">
        <w:tc>
          <w:tcPr>
            <w:tcW w:w="743" w:type="pct"/>
            <w:gridSpan w:val="2"/>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c>
          <w:tcPr>
            <w:tcW w:w="3757" w:type="pct"/>
            <w:gridSpan w:val="4"/>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層級</w:t>
            </w:r>
          </w:p>
        </w:tc>
        <w:tc>
          <w:tcPr>
            <w:tcW w:w="250" w:type="pct"/>
            <w:vMerge w:val="restar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0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單項積分上限</w:t>
            </w:r>
          </w:p>
        </w:tc>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r>
      <w:tr w:rsidR="003A1049" w:rsidRPr="00B74181" w:rsidTr="003A1049">
        <w:trPr>
          <w:trHeight w:val="39"/>
        </w:trPr>
        <w:tc>
          <w:tcPr>
            <w:tcW w:w="743" w:type="pct"/>
            <w:gridSpan w:val="2"/>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第1級</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第2級</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第3級</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第4級</w:t>
            </w:r>
          </w:p>
        </w:tc>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r>
      <w:tr w:rsidR="003A1049" w:rsidRPr="00B74181" w:rsidTr="00C50841">
        <w:tc>
          <w:tcPr>
            <w:tcW w:w="150" w:type="pct"/>
            <w:vMerge w:val="restar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多元學習表現</w:t>
            </w:r>
          </w:p>
        </w:tc>
        <w:tc>
          <w:tcPr>
            <w:tcW w:w="593" w:type="pct"/>
            <w:vMerge w:val="restar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競賽</w:t>
            </w:r>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全國第一名得6分、</w:t>
            </w:r>
            <w:proofErr w:type="gramStart"/>
            <w:r w:rsidRPr="00B74181">
              <w:rPr>
                <w:rFonts w:ascii="標楷體" w:eastAsia="標楷體" w:hAnsi="標楷體" w:cs="新細明體"/>
                <w:kern w:val="0"/>
                <w:sz w:val="20"/>
                <w:szCs w:val="20"/>
              </w:rPr>
              <w:t>第二名得5分</w:t>
            </w:r>
            <w:proofErr w:type="gramEnd"/>
            <w:r w:rsidRPr="00B74181">
              <w:rPr>
                <w:rFonts w:ascii="標楷體" w:eastAsia="標楷體" w:hAnsi="標楷體" w:cs="新細明體"/>
                <w:kern w:val="0"/>
                <w:sz w:val="20"/>
                <w:szCs w:val="20"/>
              </w:rPr>
              <w:t>、</w:t>
            </w:r>
            <w:proofErr w:type="gramStart"/>
            <w:r w:rsidRPr="00B74181">
              <w:rPr>
                <w:rFonts w:ascii="標楷體" w:eastAsia="標楷體" w:hAnsi="標楷體" w:cs="新細明體"/>
                <w:kern w:val="0"/>
                <w:sz w:val="20"/>
                <w:szCs w:val="20"/>
              </w:rPr>
              <w:t>第三名得4分</w:t>
            </w:r>
            <w:proofErr w:type="gramEnd"/>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全國四至六名與區域及縣(市)第一名得3分、區域及縣(市)</w:t>
            </w:r>
            <w:proofErr w:type="gramStart"/>
            <w:r w:rsidRPr="00B74181">
              <w:rPr>
                <w:rFonts w:ascii="標楷體" w:eastAsia="標楷體" w:hAnsi="標楷體" w:cs="新細明體"/>
                <w:kern w:val="0"/>
                <w:sz w:val="20"/>
                <w:szCs w:val="20"/>
              </w:rPr>
              <w:t>第二名得2分</w:t>
            </w:r>
            <w:proofErr w:type="gramEnd"/>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區域及縣(市)</w:t>
            </w:r>
            <w:proofErr w:type="gramStart"/>
            <w:r w:rsidRPr="00B74181">
              <w:rPr>
                <w:rFonts w:ascii="標楷體" w:eastAsia="標楷體" w:hAnsi="標楷體" w:cs="新細明體"/>
                <w:kern w:val="0"/>
                <w:sz w:val="20"/>
                <w:szCs w:val="20"/>
              </w:rPr>
              <w:t>第三名得1分</w:t>
            </w:r>
            <w:proofErr w:type="gramEnd"/>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 xml:space="preserve">　</w:t>
            </w:r>
          </w:p>
        </w:tc>
        <w:tc>
          <w:tcPr>
            <w:tcW w:w="250" w:type="pct"/>
            <w:vMerge w:val="restar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7</w:t>
            </w:r>
          </w:p>
        </w:tc>
        <w:tc>
          <w:tcPr>
            <w:tcW w:w="250" w:type="pct"/>
            <w:vMerge w:val="restar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16</w:t>
            </w:r>
          </w:p>
        </w:tc>
      </w:tr>
      <w:tr w:rsidR="003A1049" w:rsidRPr="00B74181" w:rsidTr="00C50841">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c>
          <w:tcPr>
            <w:tcW w:w="593" w:type="pct"/>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國際科技展覽、國際運動會、學科國際奧林匹亞競賽、國際國中</w:t>
            </w:r>
            <w:proofErr w:type="gramStart"/>
            <w:r w:rsidRPr="00B74181">
              <w:rPr>
                <w:rFonts w:ascii="標楷體" w:eastAsia="標楷體" w:hAnsi="標楷體" w:cs="新細明體"/>
                <w:kern w:val="0"/>
                <w:sz w:val="20"/>
                <w:szCs w:val="20"/>
              </w:rPr>
              <w:t>科學奧</w:t>
            </w:r>
            <w:proofErr w:type="gramEnd"/>
            <w:r w:rsidRPr="00B74181">
              <w:rPr>
                <w:rFonts w:ascii="標楷體" w:eastAsia="標楷體" w:hAnsi="標楷體" w:cs="新細明體"/>
                <w:kern w:val="0"/>
                <w:sz w:val="20"/>
                <w:szCs w:val="20"/>
              </w:rPr>
              <w:t>林匹亞競賽、國際技能競賽、國際</w:t>
            </w:r>
            <w:proofErr w:type="gramStart"/>
            <w:r w:rsidRPr="00B74181">
              <w:rPr>
                <w:rFonts w:ascii="標楷體" w:eastAsia="標楷體" w:hAnsi="標楷體" w:cs="新細明體"/>
                <w:kern w:val="0"/>
                <w:sz w:val="20"/>
                <w:szCs w:val="20"/>
              </w:rPr>
              <w:t>展能節職業</w:t>
            </w:r>
            <w:proofErr w:type="gramEnd"/>
            <w:r w:rsidRPr="00B74181">
              <w:rPr>
                <w:rFonts w:ascii="標楷體" w:eastAsia="標楷體" w:hAnsi="標楷體" w:cs="新細明體"/>
                <w:kern w:val="0"/>
                <w:sz w:val="20"/>
                <w:szCs w:val="20"/>
              </w:rPr>
              <w:t>技能競賽等獲得第一名得7分、獲得</w:t>
            </w:r>
            <w:proofErr w:type="gramStart"/>
            <w:r w:rsidRPr="00B74181">
              <w:rPr>
                <w:rFonts w:ascii="標楷體" w:eastAsia="標楷體" w:hAnsi="標楷體" w:cs="新細明體"/>
                <w:kern w:val="0"/>
                <w:sz w:val="20"/>
                <w:szCs w:val="20"/>
              </w:rPr>
              <w:t>第二名得6分</w:t>
            </w:r>
            <w:proofErr w:type="gramEnd"/>
            <w:r w:rsidRPr="00B74181">
              <w:rPr>
                <w:rFonts w:ascii="標楷體" w:eastAsia="標楷體" w:hAnsi="標楷體" w:cs="新細明體"/>
                <w:kern w:val="0"/>
                <w:sz w:val="20"/>
                <w:szCs w:val="20"/>
              </w:rPr>
              <w:t>、獲得</w:t>
            </w:r>
            <w:proofErr w:type="gramStart"/>
            <w:r w:rsidRPr="00B74181">
              <w:rPr>
                <w:rFonts w:ascii="標楷體" w:eastAsia="標楷體" w:hAnsi="標楷體" w:cs="新細明體"/>
                <w:kern w:val="0"/>
                <w:sz w:val="20"/>
                <w:szCs w:val="20"/>
              </w:rPr>
              <w:t>第三名得5分</w:t>
            </w:r>
            <w:proofErr w:type="gramEnd"/>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國際發明展及台北國際發明暨技術交易展獲得第一名得4分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國際發明展及台北國際發明暨技術交易展獲得</w:t>
            </w:r>
            <w:proofErr w:type="gramStart"/>
            <w:r w:rsidRPr="00B74181">
              <w:rPr>
                <w:rFonts w:ascii="標楷體" w:eastAsia="標楷體" w:hAnsi="標楷體" w:cs="新細明體"/>
                <w:kern w:val="0"/>
                <w:sz w:val="20"/>
                <w:szCs w:val="20"/>
              </w:rPr>
              <w:t>第二名得3分</w:t>
            </w:r>
            <w:proofErr w:type="gramEnd"/>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國際發明展及台北國際發明暨技術交易展獲得</w:t>
            </w:r>
            <w:proofErr w:type="gramStart"/>
            <w:r w:rsidRPr="00B74181">
              <w:rPr>
                <w:rFonts w:ascii="標楷體" w:eastAsia="標楷體" w:hAnsi="標楷體" w:cs="新細明體"/>
                <w:kern w:val="0"/>
                <w:sz w:val="20"/>
                <w:szCs w:val="20"/>
              </w:rPr>
              <w:t>第三名得2分</w:t>
            </w:r>
            <w:proofErr w:type="gramEnd"/>
          </w:p>
        </w:tc>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r>
      <w:tr w:rsidR="003A1049" w:rsidRPr="00337C25" w:rsidTr="00C50841">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c>
          <w:tcPr>
            <w:tcW w:w="593"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服務學習</w:t>
            </w:r>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學校服務表現及校外服務學習</w:t>
            </w:r>
          </w:p>
        </w:tc>
        <w:tc>
          <w:tcPr>
            <w:tcW w:w="2700" w:type="pct"/>
            <w:gridSpan w:val="3"/>
            <w:tcBorders>
              <w:top w:val="outset" w:sz="6" w:space="0" w:color="2E4352"/>
              <w:left w:val="outset" w:sz="6" w:space="0" w:color="2E4352"/>
              <w:bottom w:val="outset" w:sz="6" w:space="0" w:color="2E4352"/>
              <w:right w:val="outset" w:sz="6" w:space="0" w:color="2E4352"/>
            </w:tcBorders>
            <w:vAlign w:val="center"/>
            <w:hideMark/>
          </w:tcPr>
          <w:p w:rsidR="003A1049" w:rsidRPr="00337C25" w:rsidRDefault="003A1049" w:rsidP="003A1049">
            <w:pPr>
              <w:widowControl/>
              <w:numPr>
                <w:ilvl w:val="0"/>
                <w:numId w:val="1"/>
              </w:numPr>
              <w:tabs>
                <w:tab w:val="clear" w:pos="720"/>
              </w:tabs>
              <w:spacing w:line="260" w:lineRule="exact"/>
              <w:ind w:left="343" w:rightChars="10" w:right="24" w:hanging="284"/>
              <w:rPr>
                <w:rFonts w:ascii="標楷體" w:eastAsia="標楷體" w:hAnsi="標楷體" w:cs="新細明體"/>
                <w:kern w:val="0"/>
                <w:sz w:val="20"/>
                <w:szCs w:val="20"/>
              </w:rPr>
            </w:pPr>
            <w:r w:rsidRPr="00337C25">
              <w:rPr>
                <w:rFonts w:ascii="標楷體" w:eastAsia="標楷體" w:hAnsi="標楷體" w:cs="新細明體"/>
                <w:kern w:val="0"/>
                <w:sz w:val="20"/>
                <w:szCs w:val="20"/>
              </w:rPr>
              <w:t>擔任班級幹部、小老師或社團幹部任滿一學期得1分，同一學期同時擔任</w:t>
            </w:r>
            <w:r w:rsidRPr="00337C25">
              <w:rPr>
                <w:rFonts w:ascii="標楷體" w:eastAsia="標楷體" w:hAnsi="標楷體" w:cs="新細明體" w:hint="eastAsia"/>
                <w:kern w:val="0"/>
                <w:sz w:val="20"/>
                <w:szCs w:val="20"/>
              </w:rPr>
              <w:t>上述多項職務時</w:t>
            </w:r>
            <w:r w:rsidRPr="00337C25">
              <w:rPr>
                <w:rFonts w:ascii="標楷體" w:eastAsia="標楷體" w:hAnsi="標楷體" w:cs="新細明體"/>
                <w:kern w:val="0"/>
                <w:sz w:val="20"/>
                <w:szCs w:val="20"/>
              </w:rPr>
              <w:t>，仍以1分</w:t>
            </w:r>
            <w:proofErr w:type="gramStart"/>
            <w:r w:rsidRPr="00337C25">
              <w:rPr>
                <w:rFonts w:ascii="標楷體" w:eastAsia="標楷體" w:hAnsi="標楷體" w:cs="新細明體"/>
                <w:kern w:val="0"/>
                <w:sz w:val="20"/>
                <w:szCs w:val="20"/>
              </w:rPr>
              <w:t>採</w:t>
            </w:r>
            <w:proofErr w:type="gramEnd"/>
            <w:r w:rsidRPr="00337C25">
              <w:rPr>
                <w:rFonts w:ascii="標楷體" w:eastAsia="標楷體" w:hAnsi="標楷體" w:cs="新細明體"/>
                <w:kern w:val="0"/>
                <w:sz w:val="20"/>
                <w:szCs w:val="20"/>
              </w:rPr>
              <w:t>計。</w:t>
            </w:r>
          </w:p>
          <w:p w:rsidR="003A1049" w:rsidRPr="00B74181" w:rsidRDefault="003A1049" w:rsidP="003A1049">
            <w:pPr>
              <w:widowControl/>
              <w:numPr>
                <w:ilvl w:val="0"/>
                <w:numId w:val="1"/>
              </w:numPr>
              <w:tabs>
                <w:tab w:val="clear" w:pos="720"/>
              </w:tabs>
              <w:spacing w:line="260" w:lineRule="exact"/>
              <w:ind w:left="343" w:rightChars="10" w:right="24" w:hanging="284"/>
              <w:rPr>
                <w:rFonts w:ascii="標楷體" w:eastAsia="標楷體" w:hAnsi="標楷體" w:cs="新細明體"/>
                <w:kern w:val="0"/>
                <w:sz w:val="20"/>
                <w:szCs w:val="20"/>
              </w:rPr>
            </w:pPr>
            <w:r w:rsidRPr="00337C25">
              <w:rPr>
                <w:rFonts w:ascii="標楷體" w:eastAsia="標楷體" w:hAnsi="標楷體" w:cs="新細明體"/>
                <w:kern w:val="0"/>
                <w:sz w:val="20"/>
                <w:szCs w:val="20"/>
              </w:rPr>
              <w:t>參加校內服務學習課程或活動，其服務學習時數經由國中學校認定服務表現績優，並具有服務學習證明文件者，滿8小時得1分。參加</w:t>
            </w:r>
            <w:proofErr w:type="gramStart"/>
            <w:r w:rsidRPr="00337C25">
              <w:rPr>
                <w:rFonts w:ascii="標楷體" w:eastAsia="標楷體" w:hAnsi="標楷體" w:cs="新細明體" w:hint="eastAsia"/>
                <w:kern w:val="0"/>
                <w:sz w:val="20"/>
                <w:szCs w:val="20"/>
              </w:rPr>
              <w:t>校外</w:t>
            </w:r>
            <w:r w:rsidRPr="00337C25">
              <w:rPr>
                <w:rFonts w:ascii="標楷體" w:eastAsia="標楷體" w:hAnsi="標楷體" w:cs="新細明體"/>
                <w:kern w:val="0"/>
                <w:sz w:val="20"/>
                <w:szCs w:val="20"/>
              </w:rPr>
              <w:t>志</w:t>
            </w:r>
            <w:proofErr w:type="gramEnd"/>
            <w:r w:rsidRPr="00337C25">
              <w:rPr>
                <w:rFonts w:ascii="標楷體" w:eastAsia="標楷體" w:hAnsi="標楷體" w:cs="新細明體"/>
                <w:kern w:val="0"/>
                <w:sz w:val="20"/>
                <w:szCs w:val="20"/>
              </w:rPr>
              <w:t>工服務等，僅</w:t>
            </w:r>
            <w:proofErr w:type="gramStart"/>
            <w:r w:rsidRPr="00337C25">
              <w:rPr>
                <w:rFonts w:ascii="標楷體" w:eastAsia="標楷體" w:hAnsi="標楷體" w:cs="新細明體"/>
                <w:kern w:val="0"/>
                <w:sz w:val="20"/>
                <w:szCs w:val="20"/>
              </w:rPr>
              <w:t>採</w:t>
            </w:r>
            <w:proofErr w:type="gramEnd"/>
            <w:r w:rsidRPr="00337C25">
              <w:rPr>
                <w:rFonts w:ascii="標楷體" w:eastAsia="標楷體" w:hAnsi="標楷體" w:cs="新細明體"/>
                <w:kern w:val="0"/>
                <w:sz w:val="20"/>
                <w:szCs w:val="20"/>
              </w:rPr>
              <w:t>認依法立案登記之財團法人、社團法人或政府機關提供之證明文件。</w:t>
            </w:r>
            <w:r w:rsidRPr="00B74181">
              <w:rPr>
                <w:rFonts w:ascii="標楷體" w:eastAsia="標楷體" w:hAnsi="標楷體" w:cs="新細明體"/>
                <w:kern w:val="0"/>
                <w:sz w:val="20"/>
                <w:szCs w:val="20"/>
              </w:rPr>
              <w:t xml:space="preserve">　</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7</w:t>
            </w:r>
          </w:p>
        </w:tc>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r>
      <w:tr w:rsidR="003A1049" w:rsidRPr="00B74181" w:rsidTr="00C50841">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c>
          <w:tcPr>
            <w:tcW w:w="593"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日常生活</w:t>
            </w:r>
            <w:r>
              <w:rPr>
                <w:rFonts w:ascii="標楷體" w:eastAsia="標楷體" w:hAnsi="標楷體" w:cs="新細明體" w:hint="eastAsia"/>
                <w:kern w:val="0"/>
                <w:sz w:val="20"/>
                <w:szCs w:val="20"/>
              </w:rPr>
              <w:t xml:space="preserve">  </w:t>
            </w:r>
            <w:r w:rsidRPr="00B74181">
              <w:rPr>
                <w:rFonts w:ascii="標楷體" w:eastAsia="標楷體" w:hAnsi="標楷體" w:cs="新細明體"/>
                <w:kern w:val="0"/>
                <w:sz w:val="20"/>
                <w:szCs w:val="20"/>
              </w:rPr>
              <w:t>表現評量</w:t>
            </w:r>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roofErr w:type="gramStart"/>
            <w:r w:rsidRPr="00B74181">
              <w:rPr>
                <w:rFonts w:ascii="標楷體" w:eastAsia="標楷體" w:hAnsi="標楷體" w:cs="新細明體"/>
                <w:kern w:val="0"/>
                <w:sz w:val="20"/>
                <w:szCs w:val="20"/>
              </w:rPr>
              <w:t>無記小</w:t>
            </w:r>
            <w:proofErr w:type="gramEnd"/>
            <w:r w:rsidRPr="00B74181">
              <w:rPr>
                <w:rFonts w:ascii="標楷體" w:eastAsia="標楷體" w:hAnsi="標楷體" w:cs="新細明體"/>
                <w:kern w:val="0"/>
                <w:sz w:val="20"/>
                <w:szCs w:val="20"/>
              </w:rPr>
              <w:t>過以上處分紀錄，並經獎懲相抵後得1次大功(含以上)者得4分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roofErr w:type="gramStart"/>
            <w:r w:rsidRPr="00B74181">
              <w:rPr>
                <w:rFonts w:ascii="標楷體" w:eastAsia="標楷體" w:hAnsi="標楷體" w:cs="新細明體"/>
                <w:kern w:val="0"/>
                <w:sz w:val="20"/>
                <w:szCs w:val="20"/>
              </w:rPr>
              <w:t>無記小</w:t>
            </w:r>
            <w:proofErr w:type="gramEnd"/>
            <w:r w:rsidRPr="00B74181">
              <w:rPr>
                <w:rFonts w:ascii="標楷體" w:eastAsia="標楷體" w:hAnsi="標楷體" w:cs="新細明體"/>
                <w:kern w:val="0"/>
                <w:sz w:val="20"/>
                <w:szCs w:val="20"/>
              </w:rPr>
              <w:t>過以上處分紀錄，並經獎懲相抵後得1次小功(含以上)者得3分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roofErr w:type="gramStart"/>
            <w:r w:rsidRPr="00B74181">
              <w:rPr>
                <w:rFonts w:ascii="標楷體" w:eastAsia="標楷體" w:hAnsi="標楷體" w:cs="新細明體"/>
                <w:kern w:val="0"/>
                <w:sz w:val="20"/>
                <w:szCs w:val="20"/>
              </w:rPr>
              <w:t>無記小</w:t>
            </w:r>
            <w:proofErr w:type="gramEnd"/>
            <w:r w:rsidRPr="00B74181">
              <w:rPr>
                <w:rFonts w:ascii="標楷體" w:eastAsia="標楷體" w:hAnsi="標楷體" w:cs="新細明體"/>
                <w:kern w:val="0"/>
                <w:sz w:val="20"/>
                <w:szCs w:val="20"/>
              </w:rPr>
              <w:t>過以上處分紀錄，並經獎懲相抵後得1次嘉獎(含以上)者得2分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獎懲相抵後無任何懲處紀錄者得1分</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4</w:t>
            </w:r>
          </w:p>
        </w:tc>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r>
      <w:tr w:rsidR="003A1049" w:rsidRPr="00B74181" w:rsidTr="00C50841">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c>
          <w:tcPr>
            <w:tcW w:w="593"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體適能</w:t>
            </w:r>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體適能檢測成績3項達門檻標準者得6分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體適能檢測成績2項達門檻標準者得4分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體適能檢測成績1項達門檻標準者得2分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 xml:space="preserve">　</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6</w:t>
            </w:r>
          </w:p>
        </w:tc>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p>
        </w:tc>
      </w:tr>
      <w:tr w:rsidR="003A1049" w:rsidRPr="00B74181" w:rsidTr="00C50841">
        <w:tc>
          <w:tcPr>
            <w:tcW w:w="743" w:type="pct"/>
            <w:gridSpan w:val="2"/>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技藝優良</w:t>
            </w:r>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技藝教育課程平均總成績達90分以上者得3分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技藝教育課程平均總成績達80分以上，未滿90分者得2分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技藝教育課程平均總成績達60分以上，未滿80分者得1分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 xml:space="preserve">　</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3</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3</w:t>
            </w:r>
          </w:p>
        </w:tc>
      </w:tr>
      <w:tr w:rsidR="003A1049" w:rsidRPr="00B74181" w:rsidTr="00C50841">
        <w:tc>
          <w:tcPr>
            <w:tcW w:w="743" w:type="pct"/>
            <w:gridSpan w:val="2"/>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弱勢身分</w:t>
            </w:r>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低收入戶、中低收入戶、直系血親尊親屬支領失業給付之子女或特殊境遇家庭子女</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 xml:space="preserve">　</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 xml:space="preserve">　</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 xml:space="preserve">　</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2</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2</w:t>
            </w:r>
          </w:p>
        </w:tc>
      </w:tr>
      <w:tr w:rsidR="003A1049" w:rsidRPr="00B74181" w:rsidTr="00C50841">
        <w:tc>
          <w:tcPr>
            <w:tcW w:w="743" w:type="pct"/>
            <w:gridSpan w:val="2"/>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均衡學習</w:t>
            </w:r>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3項領域「5學期平均成績」皆達60分以上得6分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2項領域「5學期平均成績」皆達60分以上得4分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僅1項領域「5學期平均成績」達60分以上得2分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 xml:space="preserve">　</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6</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6</w:t>
            </w:r>
          </w:p>
        </w:tc>
      </w:tr>
      <w:tr w:rsidR="003A1049" w:rsidRPr="00B74181" w:rsidTr="00C50841">
        <w:tc>
          <w:tcPr>
            <w:tcW w:w="743" w:type="pct"/>
            <w:gridSpan w:val="2"/>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適性輔導</w:t>
            </w:r>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《生涯發展規劃書》中「家長意見」、「導師意見」、「輔導教師意見」3者皆勾選五專者得3分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《生涯發展規劃書》中「家長意見」、「導師意見」、「輔導教師意見」任2者勾選五專者得2分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《生涯發展規劃書》中「家長意見」、「導師意見」、「輔導教師意見」任1者勾選五專者得1分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 xml:space="preserve">　</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3</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3</w:t>
            </w:r>
          </w:p>
        </w:tc>
      </w:tr>
      <w:tr w:rsidR="003A1049" w:rsidRPr="00B74181" w:rsidTr="00C50841">
        <w:tc>
          <w:tcPr>
            <w:tcW w:w="743" w:type="pct"/>
            <w:gridSpan w:val="2"/>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國中教育會考</w:t>
            </w:r>
            <w:r w:rsidRPr="00B74181">
              <w:rPr>
                <w:rFonts w:ascii="標楷體" w:eastAsia="標楷體" w:hAnsi="標楷體" w:cs="新細明體"/>
                <w:kern w:val="0"/>
                <w:sz w:val="20"/>
                <w:szCs w:val="20"/>
              </w:rPr>
              <w:br/>
              <w:t>(每科)</w:t>
            </w:r>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「精熟」科目每科得3分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「基礎」科目每科得2分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「待加強」科目每科得1分</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rPr>
                <w:rFonts w:ascii="標楷體" w:eastAsia="標楷體" w:hAnsi="標楷體" w:cs="新細明體"/>
                <w:kern w:val="0"/>
                <w:sz w:val="20"/>
                <w:szCs w:val="20"/>
              </w:rPr>
            </w:pPr>
            <w:r w:rsidRPr="00B74181">
              <w:rPr>
                <w:rFonts w:ascii="標楷體" w:eastAsia="標楷體" w:hAnsi="標楷體" w:cs="新細明體"/>
                <w:kern w:val="0"/>
                <w:sz w:val="20"/>
                <w:szCs w:val="20"/>
              </w:rPr>
              <w:t xml:space="preserve">　</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15</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15</w:t>
            </w:r>
          </w:p>
        </w:tc>
      </w:tr>
      <w:tr w:rsidR="003A1049" w:rsidRPr="00B74181" w:rsidTr="00C50841">
        <w:tc>
          <w:tcPr>
            <w:tcW w:w="743" w:type="pct"/>
            <w:gridSpan w:val="2"/>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proofErr w:type="gramStart"/>
            <w:r w:rsidRPr="00B74181">
              <w:rPr>
                <w:rFonts w:ascii="標楷體" w:eastAsia="標楷體" w:hAnsi="標楷體" w:cs="新細明體"/>
                <w:kern w:val="0"/>
                <w:sz w:val="20"/>
                <w:szCs w:val="20"/>
              </w:rPr>
              <w:t>其他比序項目</w:t>
            </w:r>
            <w:proofErr w:type="gramEnd"/>
          </w:p>
        </w:tc>
        <w:tc>
          <w:tcPr>
            <w:tcW w:w="1057"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各校自訂</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各校自訂</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各校自訂</w:t>
            </w:r>
          </w:p>
        </w:tc>
        <w:tc>
          <w:tcPr>
            <w:tcW w:w="90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各校自訂</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5</w:t>
            </w:r>
          </w:p>
        </w:tc>
        <w:tc>
          <w:tcPr>
            <w:tcW w:w="250" w:type="pct"/>
            <w:tcBorders>
              <w:top w:val="outset" w:sz="6" w:space="0" w:color="2E4352"/>
              <w:left w:val="outset" w:sz="6" w:space="0" w:color="2E4352"/>
              <w:bottom w:val="outset" w:sz="6" w:space="0" w:color="2E4352"/>
              <w:right w:val="outset" w:sz="6" w:space="0" w:color="2E4352"/>
            </w:tcBorders>
            <w:vAlign w:val="center"/>
            <w:hideMark/>
          </w:tcPr>
          <w:p w:rsidR="003A1049" w:rsidRPr="00B74181" w:rsidRDefault="003A1049" w:rsidP="003A1049">
            <w:pPr>
              <w:widowControl/>
              <w:spacing w:line="260" w:lineRule="exact"/>
              <w:jc w:val="center"/>
              <w:rPr>
                <w:rFonts w:ascii="標楷體" w:eastAsia="標楷體" w:hAnsi="標楷體" w:cs="新細明體"/>
                <w:kern w:val="0"/>
                <w:sz w:val="20"/>
                <w:szCs w:val="20"/>
              </w:rPr>
            </w:pPr>
            <w:r w:rsidRPr="00B74181">
              <w:rPr>
                <w:rFonts w:ascii="標楷體" w:eastAsia="標楷體" w:hAnsi="標楷體" w:cs="新細明體"/>
                <w:kern w:val="0"/>
                <w:sz w:val="20"/>
                <w:szCs w:val="20"/>
              </w:rPr>
              <w:t>5</w:t>
            </w:r>
          </w:p>
        </w:tc>
      </w:tr>
      <w:tr w:rsidR="003A1049" w:rsidRPr="00B74181" w:rsidTr="00C50841">
        <w:tc>
          <w:tcPr>
            <w:tcW w:w="743" w:type="pct"/>
            <w:gridSpan w:val="2"/>
            <w:tcBorders>
              <w:top w:val="outset" w:sz="6" w:space="0" w:color="2E4352"/>
              <w:left w:val="outset" w:sz="6" w:space="0" w:color="2E4352"/>
              <w:bottom w:val="outset" w:sz="6" w:space="0" w:color="2E4352"/>
              <w:right w:val="outset" w:sz="6" w:space="0" w:color="2E4352"/>
            </w:tcBorders>
            <w:vAlign w:val="center"/>
          </w:tcPr>
          <w:p w:rsidR="003A1049" w:rsidRPr="00337C25" w:rsidRDefault="003A1049" w:rsidP="003A1049">
            <w:pPr>
              <w:widowControl/>
              <w:spacing w:line="260" w:lineRule="exact"/>
              <w:jc w:val="center"/>
              <w:rPr>
                <w:rFonts w:ascii="標楷體" w:eastAsia="標楷體" w:hAnsi="標楷體" w:cs="新細明體"/>
                <w:b/>
                <w:kern w:val="0"/>
                <w:sz w:val="20"/>
                <w:szCs w:val="20"/>
              </w:rPr>
            </w:pPr>
            <w:r w:rsidRPr="00337C25">
              <w:rPr>
                <w:rFonts w:ascii="標楷體" w:eastAsia="標楷體" w:hAnsi="標楷體" w:cs="新細明體" w:hint="eastAsia"/>
                <w:b/>
                <w:kern w:val="0"/>
                <w:sz w:val="20"/>
                <w:szCs w:val="20"/>
              </w:rPr>
              <w:t>合計</w:t>
            </w:r>
          </w:p>
        </w:tc>
        <w:tc>
          <w:tcPr>
            <w:tcW w:w="3757" w:type="pct"/>
            <w:gridSpan w:val="4"/>
            <w:tcBorders>
              <w:top w:val="outset" w:sz="6" w:space="0" w:color="2E4352"/>
              <w:left w:val="outset" w:sz="6" w:space="0" w:color="2E4352"/>
              <w:bottom w:val="outset" w:sz="6" w:space="0" w:color="2E4352"/>
              <w:right w:val="outset" w:sz="6" w:space="0" w:color="2E4352"/>
            </w:tcBorders>
            <w:vAlign w:val="center"/>
          </w:tcPr>
          <w:p w:rsidR="003A1049" w:rsidRPr="00337C25" w:rsidRDefault="003A1049" w:rsidP="003A1049">
            <w:pPr>
              <w:widowControl/>
              <w:spacing w:line="260" w:lineRule="exact"/>
              <w:rPr>
                <w:rFonts w:ascii="標楷體" w:eastAsia="標楷體" w:hAnsi="標楷體" w:cs="新細明體"/>
                <w:b/>
                <w:kern w:val="0"/>
                <w:sz w:val="20"/>
                <w:szCs w:val="20"/>
              </w:rPr>
            </w:pPr>
            <w:r>
              <w:rPr>
                <w:rFonts w:ascii="標楷體" w:eastAsia="標楷體" w:hAnsi="標楷體" w:cs="新細明體" w:hint="eastAsia"/>
                <w:b/>
                <w:kern w:val="0"/>
                <w:sz w:val="20"/>
                <w:szCs w:val="20"/>
              </w:rPr>
              <w:t>以上七大項</w:t>
            </w:r>
            <w:proofErr w:type="gramStart"/>
            <w:r>
              <w:rPr>
                <w:rFonts w:ascii="標楷體" w:eastAsia="標楷體" w:hAnsi="標楷體" w:cs="新細明體" w:hint="eastAsia"/>
                <w:b/>
                <w:kern w:val="0"/>
                <w:sz w:val="20"/>
                <w:szCs w:val="20"/>
              </w:rPr>
              <w:t>超額比序項目及比序順次</w:t>
            </w:r>
            <w:proofErr w:type="gramEnd"/>
            <w:r>
              <w:rPr>
                <w:rFonts w:ascii="標楷體" w:eastAsia="標楷體" w:hAnsi="標楷體" w:cs="新細明體" w:hint="eastAsia"/>
                <w:b/>
                <w:kern w:val="0"/>
                <w:sz w:val="20"/>
                <w:szCs w:val="20"/>
              </w:rPr>
              <w:t>由各校自訂，並得視需求</w:t>
            </w:r>
            <w:proofErr w:type="gramStart"/>
            <w:r>
              <w:rPr>
                <w:rFonts w:ascii="標楷體" w:eastAsia="標楷體" w:hAnsi="標楷體" w:cs="新細明體" w:hint="eastAsia"/>
                <w:b/>
                <w:kern w:val="0"/>
                <w:sz w:val="20"/>
                <w:szCs w:val="20"/>
              </w:rPr>
              <w:t>採</w:t>
            </w:r>
            <w:proofErr w:type="gramEnd"/>
            <w:r>
              <w:rPr>
                <w:rFonts w:ascii="標楷體" w:eastAsia="標楷體" w:hAnsi="標楷體" w:cs="新細明體" w:hint="eastAsia"/>
                <w:b/>
                <w:kern w:val="0"/>
                <w:sz w:val="20"/>
                <w:szCs w:val="20"/>
              </w:rPr>
              <w:t>計加權(最多三項)。</w:t>
            </w:r>
          </w:p>
        </w:tc>
        <w:tc>
          <w:tcPr>
            <w:tcW w:w="250" w:type="pct"/>
            <w:tcBorders>
              <w:top w:val="outset" w:sz="6" w:space="0" w:color="2E4352"/>
              <w:left w:val="outset" w:sz="6" w:space="0" w:color="2E4352"/>
              <w:bottom w:val="outset" w:sz="6" w:space="0" w:color="2E4352"/>
              <w:right w:val="outset" w:sz="6" w:space="0" w:color="2E4352"/>
            </w:tcBorders>
            <w:vAlign w:val="center"/>
          </w:tcPr>
          <w:p w:rsidR="003A1049" w:rsidRPr="00337C25" w:rsidRDefault="003A1049" w:rsidP="003A1049">
            <w:pPr>
              <w:widowControl/>
              <w:spacing w:line="260" w:lineRule="exact"/>
              <w:jc w:val="center"/>
              <w:rPr>
                <w:rFonts w:ascii="標楷體" w:eastAsia="標楷體" w:hAnsi="標楷體" w:cs="新細明體"/>
                <w:b/>
                <w:kern w:val="0"/>
                <w:sz w:val="20"/>
                <w:szCs w:val="20"/>
              </w:rPr>
            </w:pPr>
          </w:p>
        </w:tc>
        <w:tc>
          <w:tcPr>
            <w:tcW w:w="250" w:type="pct"/>
            <w:tcBorders>
              <w:top w:val="outset" w:sz="6" w:space="0" w:color="2E4352"/>
              <w:left w:val="outset" w:sz="6" w:space="0" w:color="2E4352"/>
              <w:bottom w:val="outset" w:sz="6" w:space="0" w:color="2E4352"/>
              <w:right w:val="outset" w:sz="6" w:space="0" w:color="2E4352"/>
            </w:tcBorders>
            <w:vAlign w:val="center"/>
          </w:tcPr>
          <w:p w:rsidR="003A1049" w:rsidRPr="00337C25" w:rsidRDefault="003A1049" w:rsidP="003A1049">
            <w:pPr>
              <w:widowControl/>
              <w:spacing w:line="260" w:lineRule="exact"/>
              <w:jc w:val="center"/>
              <w:rPr>
                <w:rFonts w:ascii="標楷體" w:eastAsia="標楷體" w:hAnsi="標楷體" w:cs="新細明體"/>
                <w:b/>
                <w:kern w:val="0"/>
                <w:sz w:val="20"/>
                <w:szCs w:val="20"/>
              </w:rPr>
            </w:pPr>
            <w:r w:rsidRPr="00337C25">
              <w:rPr>
                <w:rFonts w:ascii="標楷體" w:eastAsia="標楷體" w:hAnsi="標楷體" w:cs="新細明體" w:hint="eastAsia"/>
                <w:b/>
                <w:kern w:val="0"/>
                <w:sz w:val="20"/>
                <w:szCs w:val="20"/>
              </w:rPr>
              <w:t>50</w:t>
            </w:r>
          </w:p>
        </w:tc>
      </w:tr>
    </w:tbl>
    <w:p w:rsidR="003A1049" w:rsidRPr="00337C25" w:rsidRDefault="003A1049" w:rsidP="003A1049">
      <w:pPr>
        <w:widowControl/>
        <w:spacing w:after="75" w:line="400" w:lineRule="exact"/>
        <w:jc w:val="center"/>
        <w:rPr>
          <w:rFonts w:ascii="標楷體" w:eastAsia="標楷體" w:hAnsi="標楷體" w:cs="Arial" w:hint="eastAsia"/>
          <w:b/>
          <w:kern w:val="0"/>
          <w:sz w:val="32"/>
          <w:szCs w:val="32"/>
        </w:rPr>
      </w:pPr>
      <w:r w:rsidRPr="00337C25">
        <w:rPr>
          <w:rFonts w:ascii="標楷體" w:eastAsia="標楷體" w:hAnsi="標楷體" w:cs="Arial" w:hint="eastAsia"/>
          <w:b/>
          <w:kern w:val="0"/>
          <w:sz w:val="32"/>
          <w:szCs w:val="32"/>
        </w:rPr>
        <w:lastRenderedPageBreak/>
        <w:t>五專特色招生</w:t>
      </w:r>
    </w:p>
    <w:p w:rsidR="003A1049" w:rsidRPr="00337C25" w:rsidRDefault="003A1049" w:rsidP="003A1049">
      <w:pPr>
        <w:widowControl/>
        <w:spacing w:after="75" w:line="400" w:lineRule="exact"/>
        <w:rPr>
          <w:rFonts w:ascii="標楷體" w:eastAsia="標楷體" w:hAnsi="標楷體" w:cs="Arial" w:hint="eastAsia"/>
          <w:b/>
          <w:kern w:val="0"/>
          <w:sz w:val="28"/>
          <w:szCs w:val="28"/>
        </w:rPr>
      </w:pPr>
      <w:r w:rsidRPr="00337C25">
        <w:rPr>
          <w:rFonts w:ascii="標楷體" w:eastAsia="標楷體" w:hAnsi="標楷體" w:cs="Arial" w:hint="eastAsia"/>
          <w:b/>
          <w:kern w:val="0"/>
          <w:sz w:val="28"/>
          <w:szCs w:val="28"/>
        </w:rPr>
        <w:t>甄選入學：</w:t>
      </w:r>
    </w:p>
    <w:p w:rsidR="003A1049" w:rsidRPr="00337C25" w:rsidRDefault="003A1049" w:rsidP="003A1049">
      <w:pPr>
        <w:widowControl/>
        <w:spacing w:after="75"/>
        <w:rPr>
          <w:rFonts w:ascii="標楷體" w:eastAsia="標楷體" w:hAnsi="標楷體" w:cs="Arial" w:hint="eastAsia"/>
          <w:kern w:val="0"/>
        </w:rPr>
      </w:pPr>
      <w:r w:rsidRPr="00337C25">
        <w:rPr>
          <w:rFonts w:ascii="標楷體" w:eastAsia="標楷體" w:hAnsi="標楷體" w:cs="Arial"/>
          <w:b/>
          <w:kern w:val="0"/>
        </w:rPr>
        <w:t>台南應用科技大學</w:t>
      </w:r>
      <w:r w:rsidRPr="00337C25">
        <w:rPr>
          <w:rFonts w:ascii="標楷體" w:eastAsia="標楷體" w:hAnsi="標楷體" w:cs="Arial" w:hint="eastAsia"/>
          <w:b/>
          <w:kern w:val="0"/>
        </w:rPr>
        <w:t>(美術系、音樂系及舞蹈系)</w:t>
      </w:r>
      <w:r w:rsidRPr="00337C25">
        <w:rPr>
          <w:rFonts w:ascii="標楷體" w:eastAsia="標楷體" w:hAnsi="標楷體" w:cs="Arial"/>
          <w:b/>
          <w:kern w:val="0"/>
        </w:rPr>
        <w:t>、東方設計學院</w:t>
      </w:r>
      <w:r w:rsidRPr="00337C25">
        <w:rPr>
          <w:rFonts w:ascii="標楷體" w:eastAsia="標楷體" w:hAnsi="標楷體" w:cs="Arial" w:hint="eastAsia"/>
          <w:b/>
          <w:kern w:val="0"/>
        </w:rPr>
        <w:t>(美術工藝系)</w:t>
      </w:r>
      <w:r w:rsidRPr="00337C25">
        <w:rPr>
          <w:rFonts w:ascii="標楷體" w:eastAsia="標楷體" w:hAnsi="標楷體" w:cs="Arial"/>
          <w:kern w:val="0"/>
        </w:rPr>
        <w:t>之103學年度七年一貫制各系招生管道係</w:t>
      </w:r>
      <w:proofErr w:type="gramStart"/>
      <w:r w:rsidRPr="00337C25">
        <w:rPr>
          <w:rFonts w:ascii="標楷體" w:eastAsia="標楷體" w:hAnsi="標楷體" w:cs="Arial"/>
          <w:kern w:val="0"/>
        </w:rPr>
        <w:t>採</w:t>
      </w:r>
      <w:proofErr w:type="gramEnd"/>
      <w:r w:rsidRPr="00337C25">
        <w:rPr>
          <w:rFonts w:ascii="標楷體" w:eastAsia="標楷體" w:hAnsi="標楷體" w:cs="Arial"/>
          <w:b/>
          <w:kern w:val="0"/>
        </w:rPr>
        <w:t>特色招生入學之甄選入學管道</w:t>
      </w:r>
      <w:r w:rsidRPr="00337C25">
        <w:rPr>
          <w:rFonts w:ascii="標楷體" w:eastAsia="標楷體" w:hAnsi="標楷體" w:cs="Arial"/>
          <w:kern w:val="0"/>
        </w:rPr>
        <w:t>，由台南應用科技大學、東方設計學院辦理單獨招生並自行辦理</w:t>
      </w:r>
      <w:proofErr w:type="gramStart"/>
      <w:r w:rsidRPr="00337C25">
        <w:rPr>
          <w:rFonts w:ascii="標楷體" w:eastAsia="標楷體" w:hAnsi="標楷體" w:cs="Arial"/>
          <w:kern w:val="0"/>
        </w:rPr>
        <w:t>採</w:t>
      </w:r>
      <w:proofErr w:type="gramEnd"/>
      <w:r w:rsidRPr="00337C25">
        <w:rPr>
          <w:rFonts w:ascii="標楷體" w:eastAsia="標楷體" w:hAnsi="標楷體" w:cs="Arial"/>
          <w:kern w:val="0"/>
        </w:rPr>
        <w:t>術科測驗，依考生術科測驗成績訂定錄取標準以及公告正、備取生名單，經錄取之考生依序辦理報到作業。</w:t>
      </w:r>
      <w:r w:rsidRPr="00337C25">
        <w:rPr>
          <w:rFonts w:ascii="標楷體" w:eastAsia="標楷體" w:hAnsi="標楷體" w:cs="Arial" w:hint="eastAsia"/>
          <w:kern w:val="0"/>
        </w:rPr>
        <w:t>詳細招生日期請參考該校招生簡章。</w:t>
      </w:r>
    </w:p>
    <w:p w:rsidR="003A1049" w:rsidRPr="00337C25" w:rsidRDefault="003A1049" w:rsidP="003A1049">
      <w:pPr>
        <w:widowControl/>
        <w:rPr>
          <w:rFonts w:ascii="標楷體" w:eastAsia="標楷體" w:hAnsi="標楷體" w:cs="Arial" w:hint="eastAsia"/>
          <w:kern w:val="0"/>
        </w:rPr>
      </w:pPr>
    </w:p>
    <w:p w:rsidR="003A1049" w:rsidRPr="00337C25" w:rsidRDefault="003A1049" w:rsidP="003A1049">
      <w:pPr>
        <w:widowControl/>
        <w:spacing w:line="400" w:lineRule="exact"/>
        <w:rPr>
          <w:rFonts w:ascii="標楷體" w:eastAsia="標楷體" w:hAnsi="標楷體" w:cs="Arial" w:hint="eastAsia"/>
          <w:b/>
          <w:kern w:val="0"/>
        </w:rPr>
      </w:pPr>
      <w:r w:rsidRPr="00337C25">
        <w:rPr>
          <w:rFonts w:ascii="標楷體" w:eastAsia="標楷體" w:hAnsi="標楷體" w:cs="Arial" w:hint="eastAsia"/>
          <w:b/>
          <w:kern w:val="0"/>
          <w:sz w:val="28"/>
          <w:szCs w:val="28"/>
        </w:rPr>
        <w:t>考試分發：</w:t>
      </w:r>
    </w:p>
    <w:p w:rsidR="003A1049" w:rsidRPr="00A57862" w:rsidRDefault="003A1049" w:rsidP="003A1049">
      <w:pPr>
        <w:widowControl/>
        <w:spacing w:after="75"/>
        <w:rPr>
          <w:rFonts w:ascii="標楷體" w:eastAsia="標楷體" w:hAnsi="標楷體" w:cs="Arial"/>
          <w:kern w:val="0"/>
        </w:rPr>
      </w:pPr>
      <w:r w:rsidRPr="00A57862">
        <w:rPr>
          <w:rFonts w:ascii="標楷體" w:eastAsia="標楷體" w:hAnsi="標楷體" w:cs="Arial"/>
          <w:kern w:val="0"/>
        </w:rPr>
        <w:t>五專特色招生考試分發入學於第一階段免試入學後辦理，</w:t>
      </w:r>
      <w:proofErr w:type="gramStart"/>
      <w:r w:rsidRPr="00A57862">
        <w:rPr>
          <w:rFonts w:ascii="標楷體" w:eastAsia="標楷體" w:hAnsi="標楷體" w:cs="Arial"/>
          <w:kern w:val="0"/>
        </w:rPr>
        <w:t>採</w:t>
      </w:r>
      <w:proofErr w:type="gramEnd"/>
      <w:r w:rsidRPr="00A57862">
        <w:rPr>
          <w:rFonts w:ascii="標楷體" w:eastAsia="標楷體" w:hAnsi="標楷體" w:cs="Arial"/>
          <w:kern w:val="0"/>
        </w:rPr>
        <w:t>計國立臺灣師範大學心理與教育測驗研究發展中心舉辦之特色招生考試成績。其中包括基北區、</w:t>
      </w:r>
      <w:proofErr w:type="gramStart"/>
      <w:r w:rsidRPr="00A57862">
        <w:rPr>
          <w:rFonts w:ascii="標楷體" w:eastAsia="標楷體" w:hAnsi="標楷體" w:cs="Arial"/>
          <w:kern w:val="0"/>
        </w:rPr>
        <w:t>桃連區</w:t>
      </w:r>
      <w:proofErr w:type="gramEnd"/>
      <w:r w:rsidRPr="00A57862">
        <w:rPr>
          <w:rFonts w:ascii="標楷體" w:eastAsia="標楷體" w:hAnsi="標楷體" w:cs="Arial"/>
          <w:kern w:val="0"/>
        </w:rPr>
        <w:t>、竹苗區、</w:t>
      </w:r>
      <w:proofErr w:type="gramStart"/>
      <w:r w:rsidRPr="00A57862">
        <w:rPr>
          <w:rFonts w:ascii="標楷體" w:eastAsia="標楷體" w:hAnsi="標楷體" w:cs="Arial"/>
          <w:kern w:val="0"/>
        </w:rPr>
        <w:t>中投區</w:t>
      </w:r>
      <w:proofErr w:type="gramEnd"/>
      <w:r w:rsidRPr="00A57862">
        <w:rPr>
          <w:rFonts w:ascii="標楷體" w:eastAsia="標楷體" w:hAnsi="標楷體" w:cs="Arial"/>
          <w:kern w:val="0"/>
        </w:rPr>
        <w:t>、彰化區、</w:t>
      </w:r>
      <w:proofErr w:type="gramStart"/>
      <w:r w:rsidRPr="00A57862">
        <w:rPr>
          <w:rFonts w:ascii="標楷體" w:eastAsia="標楷體" w:hAnsi="標楷體" w:cs="Arial"/>
          <w:kern w:val="0"/>
        </w:rPr>
        <w:t>臺</w:t>
      </w:r>
      <w:proofErr w:type="gramEnd"/>
      <w:r w:rsidRPr="00A57862">
        <w:rPr>
          <w:rFonts w:ascii="標楷體" w:eastAsia="標楷體" w:hAnsi="標楷體" w:cs="Arial"/>
          <w:kern w:val="0"/>
        </w:rPr>
        <w:t>南區與高雄區7個辦理高中職特色招生之招生區皆</w:t>
      </w:r>
      <w:proofErr w:type="gramStart"/>
      <w:r w:rsidRPr="00A57862">
        <w:rPr>
          <w:rFonts w:ascii="標楷體" w:eastAsia="標楷體" w:hAnsi="標楷體" w:cs="Arial"/>
          <w:kern w:val="0"/>
        </w:rPr>
        <w:t>採</w:t>
      </w:r>
      <w:proofErr w:type="gramEnd"/>
      <w:r w:rsidRPr="00A57862">
        <w:rPr>
          <w:rFonts w:ascii="標楷體" w:eastAsia="標楷體" w:hAnsi="標楷體" w:cs="Arial"/>
          <w:kern w:val="0"/>
        </w:rPr>
        <w:t>計國立臺灣師範大學心理與教育測驗研究發展中心舉辦之特色招生考試成績，考生只要取得任</w:t>
      </w:r>
      <w:proofErr w:type="gramStart"/>
      <w:r w:rsidRPr="00A57862">
        <w:rPr>
          <w:rFonts w:ascii="標楷體" w:eastAsia="標楷體" w:hAnsi="標楷體" w:cs="Arial"/>
          <w:kern w:val="0"/>
        </w:rPr>
        <w:t>一</w:t>
      </w:r>
      <w:proofErr w:type="gramEnd"/>
      <w:r w:rsidRPr="00A57862">
        <w:rPr>
          <w:rFonts w:ascii="標楷體" w:eastAsia="標楷體" w:hAnsi="標楷體" w:cs="Arial"/>
          <w:kern w:val="0"/>
        </w:rPr>
        <w:t>招生區之特色招生考試成績，即可憑該區特色招生考試成績作為五專特色招生考試分發入學之成績分發依據，且僅</w:t>
      </w:r>
      <w:proofErr w:type="gramStart"/>
      <w:r w:rsidRPr="00A57862">
        <w:rPr>
          <w:rFonts w:ascii="標楷體" w:eastAsia="標楷體" w:hAnsi="標楷體" w:cs="Arial"/>
          <w:kern w:val="0"/>
        </w:rPr>
        <w:t>採</w:t>
      </w:r>
      <w:proofErr w:type="gramEnd"/>
      <w:r w:rsidRPr="00A57862">
        <w:rPr>
          <w:rFonts w:ascii="標楷體" w:eastAsia="標楷體" w:hAnsi="標楷體" w:cs="Arial"/>
          <w:kern w:val="0"/>
        </w:rPr>
        <w:t>計「國文</w:t>
      </w:r>
      <w:proofErr w:type="gramStart"/>
      <w:r w:rsidRPr="00A57862">
        <w:rPr>
          <w:rFonts w:ascii="標楷體" w:eastAsia="標楷體" w:hAnsi="標楷體" w:cs="Arial"/>
          <w:kern w:val="0"/>
        </w:rPr>
        <w:t>一</w:t>
      </w:r>
      <w:proofErr w:type="gramEnd"/>
      <w:r w:rsidRPr="00A57862">
        <w:rPr>
          <w:rFonts w:ascii="標楷體" w:eastAsia="標楷體" w:hAnsi="標楷體" w:cs="Arial"/>
          <w:kern w:val="0"/>
        </w:rPr>
        <w:t>（閱讀理解）」、「英語」、「數學」3科成績。</w:t>
      </w:r>
    </w:p>
    <w:tbl>
      <w:tblPr>
        <w:tblW w:w="5000" w:type="pct"/>
        <w:tblBorders>
          <w:top w:val="outset" w:sz="12" w:space="0" w:color="2E4352"/>
          <w:left w:val="outset" w:sz="12" w:space="0" w:color="2E4352"/>
          <w:bottom w:val="outset" w:sz="12" w:space="0" w:color="2E4352"/>
          <w:right w:val="outset" w:sz="12" w:space="0" w:color="2E4352"/>
        </w:tblBorders>
        <w:tblCellMar>
          <w:top w:w="20" w:type="dxa"/>
          <w:left w:w="20" w:type="dxa"/>
          <w:bottom w:w="20" w:type="dxa"/>
          <w:right w:w="20" w:type="dxa"/>
        </w:tblCellMar>
        <w:tblLook w:val="04A0" w:firstRow="1" w:lastRow="0" w:firstColumn="1" w:lastColumn="0" w:noHBand="0" w:noVBand="1"/>
      </w:tblPr>
      <w:tblGrid>
        <w:gridCol w:w="1452"/>
        <w:gridCol w:w="8226"/>
      </w:tblGrid>
      <w:tr w:rsidR="003A1049" w:rsidRPr="00A57862"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jc w:val="center"/>
              <w:rPr>
                <w:rFonts w:ascii="標楷體" w:eastAsia="標楷體" w:hAnsi="標楷體" w:cs="新細明體"/>
                <w:kern w:val="0"/>
              </w:rPr>
            </w:pPr>
            <w:r w:rsidRPr="00A57862">
              <w:rPr>
                <w:rFonts w:ascii="標楷體" w:eastAsia="標楷體" w:hAnsi="標楷體" w:cs="新細明體"/>
                <w:kern w:val="0"/>
              </w:rPr>
              <w:t>項　　目</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jc w:val="center"/>
              <w:rPr>
                <w:rFonts w:ascii="標楷體" w:eastAsia="標楷體" w:hAnsi="標楷體" w:cs="新細明體"/>
                <w:kern w:val="0"/>
              </w:rPr>
            </w:pPr>
            <w:r w:rsidRPr="00A57862">
              <w:rPr>
                <w:rFonts w:ascii="標楷體" w:eastAsia="標楷體" w:hAnsi="標楷體" w:cs="新細明體"/>
                <w:kern w:val="0"/>
              </w:rPr>
              <w:t>說　　明</w:t>
            </w:r>
          </w:p>
        </w:tc>
      </w:tr>
      <w:tr w:rsidR="003A1049" w:rsidRPr="00A57862"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jc w:val="center"/>
              <w:rPr>
                <w:rFonts w:ascii="標楷體" w:eastAsia="標楷體" w:hAnsi="標楷體" w:cs="新細明體"/>
                <w:kern w:val="0"/>
              </w:rPr>
            </w:pPr>
            <w:r w:rsidRPr="00A57862">
              <w:rPr>
                <w:rFonts w:ascii="標楷體" w:eastAsia="標楷體" w:hAnsi="標楷體" w:cs="新細明體"/>
                <w:kern w:val="0"/>
              </w:rPr>
              <w:t>適合對象</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rPr>
                <w:rFonts w:ascii="標楷體" w:eastAsia="標楷體" w:hAnsi="標楷體" w:cs="新細明體"/>
                <w:kern w:val="0"/>
              </w:rPr>
            </w:pPr>
            <w:r w:rsidRPr="00A57862">
              <w:rPr>
                <w:rFonts w:ascii="標楷體" w:eastAsia="標楷體" w:hAnsi="標楷體" w:cs="新細明體"/>
                <w:kern w:val="0"/>
              </w:rPr>
              <w:t>公私立國民中學應屆、非應屆畢業生或具同等學力者 ，並且</w:t>
            </w:r>
            <w:r w:rsidRPr="00A57862">
              <w:rPr>
                <w:rFonts w:ascii="標楷體" w:eastAsia="標楷體" w:hAnsi="標楷體" w:cs="新細明體"/>
                <w:b/>
                <w:kern w:val="0"/>
              </w:rPr>
              <w:t>已取得基北區、</w:t>
            </w:r>
            <w:proofErr w:type="gramStart"/>
            <w:r w:rsidRPr="00A57862">
              <w:rPr>
                <w:rFonts w:ascii="標楷體" w:eastAsia="標楷體" w:hAnsi="標楷體" w:cs="新細明體"/>
                <w:b/>
                <w:kern w:val="0"/>
              </w:rPr>
              <w:t>桃連區</w:t>
            </w:r>
            <w:proofErr w:type="gramEnd"/>
            <w:r w:rsidRPr="00A57862">
              <w:rPr>
                <w:rFonts w:ascii="標楷體" w:eastAsia="標楷體" w:hAnsi="標楷體" w:cs="新細明體"/>
                <w:b/>
                <w:kern w:val="0"/>
              </w:rPr>
              <w:t>、竹苗區、</w:t>
            </w:r>
            <w:proofErr w:type="gramStart"/>
            <w:r w:rsidRPr="00A57862">
              <w:rPr>
                <w:rFonts w:ascii="標楷體" w:eastAsia="標楷體" w:hAnsi="標楷體" w:cs="新細明體"/>
                <w:b/>
                <w:kern w:val="0"/>
              </w:rPr>
              <w:t>中投區</w:t>
            </w:r>
            <w:proofErr w:type="gramEnd"/>
            <w:r w:rsidRPr="00A57862">
              <w:rPr>
                <w:rFonts w:ascii="標楷體" w:eastAsia="標楷體" w:hAnsi="標楷體" w:cs="新細明體"/>
                <w:b/>
                <w:kern w:val="0"/>
              </w:rPr>
              <w:t>、彰化區、</w:t>
            </w:r>
            <w:proofErr w:type="gramStart"/>
            <w:r w:rsidRPr="00A57862">
              <w:rPr>
                <w:rFonts w:ascii="標楷體" w:eastAsia="標楷體" w:hAnsi="標楷體" w:cs="新細明體"/>
                <w:b/>
                <w:kern w:val="0"/>
              </w:rPr>
              <w:t>臺</w:t>
            </w:r>
            <w:proofErr w:type="gramEnd"/>
            <w:r w:rsidRPr="00A57862">
              <w:rPr>
                <w:rFonts w:ascii="標楷體" w:eastAsia="標楷體" w:hAnsi="標楷體" w:cs="新細明體"/>
                <w:b/>
                <w:kern w:val="0"/>
              </w:rPr>
              <w:t>南區、高雄區等任</w:t>
            </w:r>
            <w:proofErr w:type="gramStart"/>
            <w:r w:rsidRPr="00A57862">
              <w:rPr>
                <w:rFonts w:ascii="標楷體" w:eastAsia="標楷體" w:hAnsi="標楷體" w:cs="新細明體"/>
                <w:b/>
                <w:kern w:val="0"/>
              </w:rPr>
              <w:t>一</w:t>
            </w:r>
            <w:proofErr w:type="gramEnd"/>
            <w:r w:rsidRPr="00A57862">
              <w:rPr>
                <w:rFonts w:ascii="標楷體" w:eastAsia="標楷體" w:hAnsi="標楷體" w:cs="新細明體"/>
                <w:b/>
                <w:kern w:val="0"/>
              </w:rPr>
              <w:t>招生區辦理之特色招生考試成績。</w:t>
            </w:r>
          </w:p>
        </w:tc>
      </w:tr>
      <w:tr w:rsidR="003A1049" w:rsidRPr="00A57862"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jc w:val="center"/>
              <w:rPr>
                <w:rFonts w:ascii="標楷體" w:eastAsia="標楷體" w:hAnsi="標楷體" w:cs="新細明體"/>
                <w:kern w:val="0"/>
              </w:rPr>
            </w:pPr>
            <w:r w:rsidRPr="00A57862">
              <w:rPr>
                <w:rFonts w:ascii="標楷體" w:eastAsia="標楷體" w:hAnsi="標楷體" w:cs="新細明體"/>
                <w:kern w:val="0"/>
              </w:rPr>
              <w:t>招生名額</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rPr>
                <w:rFonts w:ascii="標楷體" w:eastAsia="標楷體" w:hAnsi="標楷體" w:cs="新細明體"/>
                <w:kern w:val="0"/>
              </w:rPr>
            </w:pPr>
            <w:r w:rsidRPr="00A57862">
              <w:rPr>
                <w:rFonts w:ascii="標楷體" w:eastAsia="標楷體" w:hAnsi="標楷體" w:cs="新細明體"/>
                <w:kern w:val="0"/>
              </w:rPr>
              <w:t>103學年度五專聯合特色招生考試分發入學總招生名額共340名。</w:t>
            </w:r>
          </w:p>
        </w:tc>
      </w:tr>
      <w:tr w:rsidR="003A1049" w:rsidRPr="00A57862"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jc w:val="center"/>
              <w:rPr>
                <w:rFonts w:ascii="標楷體" w:eastAsia="標楷體" w:hAnsi="標楷體" w:cs="新細明體"/>
                <w:kern w:val="0"/>
              </w:rPr>
            </w:pPr>
            <w:r w:rsidRPr="00A57862">
              <w:rPr>
                <w:rFonts w:ascii="標楷體" w:eastAsia="標楷體" w:hAnsi="標楷體" w:cs="新細明體"/>
                <w:kern w:val="0"/>
              </w:rPr>
              <w:t>實施範圍</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rPr>
                <w:rFonts w:ascii="標楷體" w:eastAsia="標楷體" w:hAnsi="標楷體" w:cs="新細明體"/>
                <w:kern w:val="0"/>
              </w:rPr>
            </w:pPr>
            <w:r w:rsidRPr="00A57862">
              <w:rPr>
                <w:rFonts w:ascii="標楷體" w:eastAsia="標楷體" w:hAnsi="標楷體" w:cs="新細明體"/>
                <w:kern w:val="0"/>
              </w:rPr>
              <w:t>考生不限原就讀國中地點，只要有意願就讀五專特色招生考試分發入學之</w:t>
            </w:r>
            <w:proofErr w:type="gramStart"/>
            <w:r w:rsidRPr="00A57862">
              <w:rPr>
                <w:rFonts w:ascii="標楷體" w:eastAsia="標楷體" w:hAnsi="標楷體" w:cs="新細明體"/>
                <w:kern w:val="0"/>
              </w:rPr>
              <w:t>招生校科</w:t>
            </w:r>
            <w:proofErr w:type="gramEnd"/>
            <w:r w:rsidRPr="00A57862">
              <w:rPr>
                <w:rFonts w:ascii="標楷體" w:eastAsia="標楷體" w:hAnsi="標楷體" w:cs="新細明體"/>
                <w:kern w:val="0"/>
              </w:rPr>
              <w:t>(班)，皆可向103學年度五專聯合特色招生考試分發入學委員會報名。</w:t>
            </w:r>
          </w:p>
        </w:tc>
      </w:tr>
      <w:tr w:rsidR="003A1049" w:rsidRPr="00A57862"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jc w:val="center"/>
              <w:rPr>
                <w:rFonts w:ascii="標楷體" w:eastAsia="標楷體" w:hAnsi="標楷體" w:cs="新細明體"/>
                <w:kern w:val="0"/>
              </w:rPr>
            </w:pPr>
            <w:r w:rsidRPr="00A57862">
              <w:rPr>
                <w:rFonts w:ascii="標楷體" w:eastAsia="標楷體" w:hAnsi="標楷體" w:cs="新細明體"/>
                <w:kern w:val="0"/>
              </w:rPr>
              <w:t>報名日期</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rPr>
                <w:rFonts w:ascii="標楷體" w:eastAsia="標楷體" w:hAnsi="標楷體" w:cs="新細明體"/>
                <w:kern w:val="0"/>
              </w:rPr>
            </w:pPr>
            <w:r w:rsidRPr="00A57862">
              <w:rPr>
                <w:rFonts w:ascii="標楷體" w:eastAsia="標楷體" w:hAnsi="標楷體" w:cs="新細明體"/>
                <w:kern w:val="0"/>
              </w:rPr>
              <w:t>103年7月28日(星期一)~7月30日(星期三)</w:t>
            </w:r>
          </w:p>
        </w:tc>
      </w:tr>
      <w:tr w:rsidR="003A1049" w:rsidRPr="00A57862"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jc w:val="center"/>
              <w:rPr>
                <w:rFonts w:ascii="標楷體" w:eastAsia="標楷體" w:hAnsi="標楷體" w:cs="新細明體"/>
                <w:kern w:val="0"/>
              </w:rPr>
            </w:pPr>
            <w:r w:rsidRPr="00A57862">
              <w:rPr>
                <w:rFonts w:ascii="標楷體" w:eastAsia="標楷體" w:hAnsi="標楷體" w:cs="新細明體"/>
                <w:kern w:val="0"/>
              </w:rPr>
              <w:t>錄取方式</w:t>
            </w:r>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337C25" w:rsidRDefault="003A1049" w:rsidP="003A1049">
            <w:pPr>
              <w:widowControl/>
              <w:spacing w:line="300" w:lineRule="exact"/>
              <w:ind w:leftChars="45" w:left="108"/>
              <w:rPr>
                <w:rFonts w:ascii="標楷體" w:eastAsia="標楷體" w:hAnsi="標楷體" w:cs="新細明體" w:hint="eastAsia"/>
                <w:b/>
                <w:kern w:val="0"/>
                <w:u w:val="single"/>
              </w:rPr>
            </w:pPr>
            <w:r w:rsidRPr="00A57862">
              <w:rPr>
                <w:rFonts w:ascii="標楷體" w:eastAsia="標楷體" w:hAnsi="標楷體" w:cs="新細明體"/>
                <w:kern w:val="0"/>
              </w:rPr>
              <w:t>1.五專特色招生考試分發入學</w:t>
            </w:r>
            <w:proofErr w:type="gramStart"/>
            <w:r w:rsidRPr="00A57862">
              <w:rPr>
                <w:rFonts w:ascii="標楷體" w:eastAsia="標楷體" w:hAnsi="標楷體" w:cs="新細明體"/>
                <w:kern w:val="0"/>
              </w:rPr>
              <w:t>採</w:t>
            </w:r>
            <w:proofErr w:type="gramEnd"/>
            <w:r w:rsidRPr="00A57862">
              <w:rPr>
                <w:rFonts w:ascii="標楷體" w:eastAsia="標楷體" w:hAnsi="標楷體" w:cs="新細明體"/>
                <w:kern w:val="0"/>
              </w:rPr>
              <w:t>現場登記分發報到方式辦理，其分發</w:t>
            </w:r>
            <w:r w:rsidRPr="00A57862">
              <w:rPr>
                <w:rFonts w:ascii="標楷體" w:eastAsia="標楷體" w:hAnsi="標楷體" w:cs="新細明體"/>
                <w:b/>
                <w:kern w:val="0"/>
                <w:u w:val="single"/>
              </w:rPr>
              <w:t>以國立</w:t>
            </w:r>
            <w:proofErr w:type="gramStart"/>
            <w:r w:rsidRPr="00A57862">
              <w:rPr>
                <w:rFonts w:ascii="標楷體" w:eastAsia="標楷體" w:hAnsi="標楷體" w:cs="新細明體"/>
                <w:b/>
                <w:kern w:val="0"/>
                <w:u w:val="single"/>
              </w:rPr>
              <w:t>臺</w:t>
            </w:r>
            <w:proofErr w:type="gramEnd"/>
          </w:p>
          <w:p w:rsidR="003A1049" w:rsidRPr="00337C25" w:rsidRDefault="003A1049" w:rsidP="003A1049">
            <w:pPr>
              <w:widowControl/>
              <w:spacing w:line="300" w:lineRule="exact"/>
              <w:ind w:leftChars="45" w:left="108" w:firstLineChars="100" w:firstLine="240"/>
              <w:rPr>
                <w:rFonts w:ascii="標楷體" w:eastAsia="標楷體" w:hAnsi="標楷體" w:cs="新細明體" w:hint="eastAsia"/>
                <w:b/>
                <w:kern w:val="0"/>
                <w:u w:val="single"/>
              </w:rPr>
            </w:pPr>
            <w:r w:rsidRPr="00A57862">
              <w:rPr>
                <w:rFonts w:ascii="標楷體" w:eastAsia="標楷體" w:hAnsi="標楷體" w:cs="新細明體"/>
                <w:b/>
                <w:kern w:val="0"/>
                <w:u w:val="single"/>
              </w:rPr>
              <w:t>灣師範大學心理與教育測驗研究發展中心舉辦之特色招生考試成績作為分</w:t>
            </w:r>
          </w:p>
          <w:p w:rsidR="003A1049" w:rsidRPr="00A57862" w:rsidRDefault="003A1049" w:rsidP="003A1049">
            <w:pPr>
              <w:widowControl/>
              <w:spacing w:line="300" w:lineRule="exact"/>
              <w:ind w:leftChars="45" w:left="108" w:firstLineChars="100" w:firstLine="240"/>
              <w:rPr>
                <w:rFonts w:ascii="標楷體" w:eastAsia="標楷體" w:hAnsi="標楷體" w:cs="新細明體"/>
                <w:kern w:val="0"/>
              </w:rPr>
            </w:pPr>
            <w:r w:rsidRPr="00A57862">
              <w:rPr>
                <w:rFonts w:ascii="標楷體" w:eastAsia="標楷體" w:hAnsi="標楷體" w:cs="新細明體"/>
                <w:b/>
                <w:kern w:val="0"/>
                <w:u w:val="single"/>
              </w:rPr>
              <w:t>發依據</w:t>
            </w:r>
            <w:r w:rsidRPr="00A57862">
              <w:rPr>
                <w:rFonts w:ascii="標楷體" w:eastAsia="標楷體" w:hAnsi="標楷體" w:cs="新細明體"/>
                <w:kern w:val="0"/>
              </w:rPr>
              <w:t>，考生應於規定時間至報名學校進行</w:t>
            </w:r>
            <w:r w:rsidRPr="00A57862">
              <w:rPr>
                <w:rFonts w:ascii="標楷體" w:eastAsia="標楷體" w:hAnsi="標楷體" w:cs="新細明體"/>
                <w:b/>
                <w:kern w:val="0"/>
              </w:rPr>
              <w:t>現場登記分發報到</w:t>
            </w:r>
            <w:r w:rsidRPr="00A57862">
              <w:rPr>
                <w:rFonts w:ascii="標楷體" w:eastAsia="標楷體" w:hAnsi="標楷體" w:cs="新細明體"/>
                <w:kern w:val="0"/>
              </w:rPr>
              <w:t>。</w:t>
            </w:r>
            <w:r w:rsidRPr="00A57862">
              <w:rPr>
                <w:rFonts w:ascii="標楷體" w:eastAsia="標楷體" w:hAnsi="標楷體" w:cs="新細明體"/>
                <w:kern w:val="0"/>
              </w:rPr>
              <w:br/>
              <w:t>2.</w:t>
            </w:r>
            <w:proofErr w:type="gramStart"/>
            <w:r w:rsidRPr="00A57862">
              <w:rPr>
                <w:rFonts w:ascii="標楷體" w:eastAsia="標楷體" w:hAnsi="標楷體" w:cs="新細明體"/>
                <w:kern w:val="0"/>
              </w:rPr>
              <w:t>各校寄發現</w:t>
            </w:r>
            <w:proofErr w:type="gramEnd"/>
            <w:r w:rsidRPr="00A57862">
              <w:rPr>
                <w:rFonts w:ascii="標楷體" w:eastAsia="標楷體" w:hAnsi="標楷體" w:cs="新細明體"/>
                <w:kern w:val="0"/>
              </w:rPr>
              <w:t>場登記分發報到通知單日期：103年8月1日(星期五)。</w:t>
            </w:r>
            <w:r w:rsidRPr="00A57862">
              <w:rPr>
                <w:rFonts w:ascii="標楷體" w:eastAsia="標楷體" w:hAnsi="標楷體" w:cs="新細明體"/>
                <w:kern w:val="0"/>
              </w:rPr>
              <w:br/>
              <w:t>3.現場登記分發日期：103年8月5日(星期二)。</w:t>
            </w:r>
            <w:r w:rsidRPr="00A57862">
              <w:rPr>
                <w:rFonts w:ascii="標楷體" w:eastAsia="標楷體" w:hAnsi="標楷體" w:cs="新細明體"/>
                <w:kern w:val="0"/>
              </w:rPr>
              <w:br/>
              <w:t>4.現場登記分發地點：各五專特色招生考試分發入學招生學校。</w:t>
            </w:r>
          </w:p>
        </w:tc>
      </w:tr>
      <w:tr w:rsidR="003A1049" w:rsidRPr="00A57862" w:rsidTr="00C50841">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jc w:val="center"/>
              <w:rPr>
                <w:rFonts w:ascii="標楷體" w:eastAsia="標楷體" w:hAnsi="標楷體" w:cs="新細明體"/>
                <w:kern w:val="0"/>
              </w:rPr>
            </w:pPr>
            <w:r w:rsidRPr="00A57862">
              <w:rPr>
                <w:rFonts w:ascii="標楷體" w:eastAsia="標楷體" w:hAnsi="標楷體" w:cs="新細明體"/>
                <w:kern w:val="0"/>
              </w:rPr>
              <w:t>招生</w:t>
            </w:r>
            <w:proofErr w:type="gramStart"/>
            <w:r w:rsidRPr="00A57862">
              <w:rPr>
                <w:rFonts w:ascii="標楷體" w:eastAsia="標楷體" w:hAnsi="標楷體" w:cs="新細明體"/>
                <w:kern w:val="0"/>
              </w:rPr>
              <w:t>委員會官網</w:t>
            </w:r>
            <w:proofErr w:type="gramEnd"/>
          </w:p>
        </w:tc>
        <w:tc>
          <w:tcPr>
            <w:tcW w:w="4250" w:type="pct"/>
            <w:tcBorders>
              <w:top w:val="outset" w:sz="6" w:space="0" w:color="2E4352"/>
              <w:left w:val="outset" w:sz="6" w:space="0" w:color="2E4352"/>
              <w:bottom w:val="outset" w:sz="6" w:space="0" w:color="2E4352"/>
              <w:right w:val="outset" w:sz="6" w:space="0" w:color="2E4352"/>
            </w:tcBorders>
            <w:vAlign w:val="center"/>
            <w:hideMark/>
          </w:tcPr>
          <w:p w:rsidR="003A1049" w:rsidRPr="00A57862" w:rsidRDefault="003A1049" w:rsidP="003A1049">
            <w:pPr>
              <w:widowControl/>
              <w:spacing w:line="300" w:lineRule="exact"/>
              <w:rPr>
                <w:rFonts w:ascii="標楷體" w:eastAsia="標楷體" w:hAnsi="標楷體" w:cs="新細明體"/>
                <w:kern w:val="0"/>
              </w:rPr>
            </w:pPr>
            <w:r w:rsidRPr="00A57862">
              <w:rPr>
                <w:rFonts w:ascii="標楷體" w:eastAsia="標楷體" w:hAnsi="標楷體" w:cs="新細明體"/>
                <w:kern w:val="0"/>
              </w:rPr>
              <w:t>五專聯合特色招生考試分發入學招生委員會(文藻外語大學承辦)：</w:t>
            </w:r>
            <w:r w:rsidRPr="00A57862">
              <w:rPr>
                <w:rFonts w:ascii="標楷體" w:eastAsia="標楷體" w:hAnsi="標楷體" w:cs="新細明體"/>
                <w:kern w:val="0"/>
              </w:rPr>
              <w:br/>
            </w:r>
            <w:hyperlink r:id="rId10" w:tgtFrame="_blank" w:history="1">
              <w:r w:rsidRPr="00A57862">
                <w:rPr>
                  <w:rFonts w:ascii="標楷體" w:eastAsia="標楷體" w:hAnsi="標楷體" w:cs="新細明體"/>
                  <w:kern w:val="0"/>
                </w:rPr>
                <w:t>http://special5.wzu.edu.tw/</w:t>
              </w:r>
            </w:hyperlink>
          </w:p>
        </w:tc>
      </w:tr>
    </w:tbl>
    <w:p w:rsidR="003A1049" w:rsidRPr="00E718C1" w:rsidRDefault="003A1049" w:rsidP="003A1049">
      <w:pPr>
        <w:widowControl/>
        <w:shd w:val="clear" w:color="auto" w:fill="FFFFFF"/>
        <w:spacing w:before="240"/>
        <w:jc w:val="center"/>
        <w:outlineLvl w:val="2"/>
        <w:rPr>
          <w:rFonts w:ascii="Arial" w:hAnsi="Arial" w:cs="Arial"/>
          <w:b/>
          <w:bCs/>
          <w:kern w:val="0"/>
          <w:sz w:val="22"/>
          <w:szCs w:val="22"/>
        </w:rPr>
      </w:pPr>
      <w:r w:rsidRPr="00337C25">
        <w:rPr>
          <w:rFonts w:ascii="標楷體" w:eastAsia="標楷體" w:hAnsi="標楷體" w:cs="Arial"/>
          <w:b/>
          <w:sz w:val="28"/>
          <w:szCs w:val="28"/>
        </w:rPr>
        <w:t>五專特色招生</w:t>
      </w:r>
      <w:r w:rsidRPr="00982D38">
        <w:rPr>
          <w:rFonts w:ascii="標楷體" w:eastAsia="標楷體" w:hAnsi="標楷體" w:cs="Arial"/>
          <w:b/>
          <w:sz w:val="28"/>
          <w:szCs w:val="28"/>
          <w:u w:val="single"/>
        </w:rPr>
        <w:t>考試分發</w:t>
      </w:r>
      <w:r w:rsidRPr="00337C25">
        <w:rPr>
          <w:rFonts w:ascii="標楷體" w:eastAsia="標楷體" w:hAnsi="標楷體" w:cs="Arial"/>
          <w:b/>
          <w:sz w:val="28"/>
          <w:szCs w:val="28"/>
        </w:rPr>
        <w:t>入學招生學校、科(班)別及招生名額一覽表</w:t>
      </w:r>
    </w:p>
    <w:tbl>
      <w:tblPr>
        <w:tblW w:w="5000" w:type="pct"/>
        <w:tblBorders>
          <w:top w:val="outset" w:sz="12" w:space="0" w:color="2E4352"/>
          <w:left w:val="outset" w:sz="12" w:space="0" w:color="2E4352"/>
          <w:bottom w:val="outset" w:sz="12" w:space="0" w:color="2E4352"/>
          <w:right w:val="outset" w:sz="12" w:space="0" w:color="2E4352"/>
        </w:tblBorders>
        <w:tblCellMar>
          <w:top w:w="20" w:type="dxa"/>
          <w:left w:w="20" w:type="dxa"/>
          <w:bottom w:w="20" w:type="dxa"/>
          <w:right w:w="20" w:type="dxa"/>
        </w:tblCellMar>
        <w:tblLook w:val="04A0" w:firstRow="1" w:lastRow="0" w:firstColumn="1" w:lastColumn="0" w:noHBand="0" w:noVBand="1"/>
      </w:tblPr>
      <w:tblGrid>
        <w:gridCol w:w="2903"/>
        <w:gridCol w:w="5323"/>
        <w:gridCol w:w="1452"/>
      </w:tblGrid>
      <w:tr w:rsidR="003A1049" w:rsidRPr="00E718C1" w:rsidTr="00C50841">
        <w:tc>
          <w:tcPr>
            <w:tcW w:w="150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分區</w:t>
            </w:r>
          </w:p>
        </w:tc>
        <w:tc>
          <w:tcPr>
            <w:tcW w:w="2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招生學校</w:t>
            </w:r>
          </w:p>
        </w:tc>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招生名額</w:t>
            </w:r>
          </w:p>
        </w:tc>
      </w:tr>
      <w:tr w:rsidR="003A1049" w:rsidRPr="00E718C1" w:rsidTr="00C50841">
        <w:tc>
          <w:tcPr>
            <w:tcW w:w="150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文藻外語大學</w:t>
            </w:r>
          </w:p>
        </w:tc>
        <w:tc>
          <w:tcPr>
            <w:tcW w:w="2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雙外語跨領域國際專業人才菁英班</w:t>
            </w:r>
          </w:p>
        </w:tc>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50</w:t>
            </w:r>
          </w:p>
        </w:tc>
      </w:tr>
      <w:tr w:rsidR="003A1049" w:rsidRPr="00E718C1" w:rsidTr="00C50841">
        <w:tc>
          <w:tcPr>
            <w:tcW w:w="1500" w:type="pct"/>
            <w:vMerge w:val="restar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國立</w:t>
            </w:r>
            <w:proofErr w:type="gramStart"/>
            <w:r w:rsidRPr="00E718C1">
              <w:rPr>
                <w:rFonts w:ascii="標楷體" w:eastAsia="標楷體" w:hAnsi="標楷體" w:cs="新細明體"/>
                <w:kern w:val="0"/>
              </w:rPr>
              <w:t>臺</w:t>
            </w:r>
            <w:proofErr w:type="gramEnd"/>
            <w:r w:rsidRPr="00E718C1">
              <w:rPr>
                <w:rFonts w:ascii="標楷體" w:eastAsia="標楷體" w:hAnsi="標楷體" w:cs="新細明體"/>
                <w:kern w:val="0"/>
              </w:rPr>
              <w:t>中科技大學</w:t>
            </w:r>
          </w:p>
        </w:tc>
        <w:tc>
          <w:tcPr>
            <w:tcW w:w="2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資訊應用菁英班</w:t>
            </w:r>
          </w:p>
        </w:tc>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50</w:t>
            </w:r>
          </w:p>
        </w:tc>
      </w:tr>
      <w:tr w:rsidR="003A1049" w:rsidRPr="00E718C1" w:rsidTr="00C50841">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rPr>
                <w:rFonts w:ascii="標楷體" w:eastAsia="標楷體" w:hAnsi="標楷體" w:cs="新細明體"/>
                <w:kern w:val="0"/>
              </w:rPr>
            </w:pPr>
          </w:p>
        </w:tc>
        <w:tc>
          <w:tcPr>
            <w:tcW w:w="2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創意商品設計菁英班</w:t>
            </w:r>
          </w:p>
        </w:tc>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40</w:t>
            </w:r>
          </w:p>
        </w:tc>
      </w:tr>
      <w:tr w:rsidR="003A1049" w:rsidRPr="00E718C1" w:rsidTr="00C50841">
        <w:tc>
          <w:tcPr>
            <w:tcW w:w="1500" w:type="pct"/>
            <w:vMerge w:val="restar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國</w:t>
            </w:r>
            <w:bookmarkStart w:id="0" w:name="_GoBack"/>
            <w:r w:rsidRPr="00E718C1">
              <w:rPr>
                <w:rFonts w:ascii="標楷體" w:eastAsia="標楷體" w:hAnsi="標楷體" w:cs="新細明體"/>
                <w:kern w:val="0"/>
              </w:rPr>
              <w:t>立</w:t>
            </w:r>
            <w:proofErr w:type="gramStart"/>
            <w:r w:rsidRPr="00E718C1">
              <w:rPr>
                <w:rFonts w:ascii="標楷體" w:eastAsia="標楷體" w:hAnsi="標楷體" w:cs="新細明體"/>
                <w:kern w:val="0"/>
              </w:rPr>
              <w:t>臺</w:t>
            </w:r>
            <w:proofErr w:type="gramEnd"/>
            <w:r w:rsidRPr="00E718C1">
              <w:rPr>
                <w:rFonts w:ascii="標楷體" w:eastAsia="標楷體" w:hAnsi="標楷體" w:cs="新細明體"/>
                <w:kern w:val="0"/>
              </w:rPr>
              <w:t>北商業</w:t>
            </w:r>
            <w:bookmarkEnd w:id="0"/>
            <w:r w:rsidRPr="00E718C1">
              <w:rPr>
                <w:rFonts w:ascii="標楷體" w:eastAsia="標楷體" w:hAnsi="標楷體" w:cs="新細明體"/>
                <w:kern w:val="0"/>
              </w:rPr>
              <w:t>技術學院</w:t>
            </w:r>
          </w:p>
        </w:tc>
        <w:tc>
          <w:tcPr>
            <w:tcW w:w="2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企業管理菁英班</w:t>
            </w:r>
          </w:p>
        </w:tc>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50</w:t>
            </w:r>
          </w:p>
        </w:tc>
      </w:tr>
      <w:tr w:rsidR="003A1049" w:rsidRPr="00E718C1" w:rsidTr="00C50841">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rPr>
                <w:rFonts w:ascii="標楷體" w:eastAsia="標楷體" w:hAnsi="標楷體" w:cs="新細明體"/>
                <w:kern w:val="0"/>
              </w:rPr>
            </w:pPr>
          </w:p>
        </w:tc>
        <w:tc>
          <w:tcPr>
            <w:tcW w:w="2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國際貿易科</w:t>
            </w:r>
          </w:p>
        </w:tc>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50</w:t>
            </w:r>
          </w:p>
        </w:tc>
      </w:tr>
      <w:tr w:rsidR="003A1049" w:rsidRPr="00E718C1" w:rsidTr="00C50841">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rPr>
                <w:rFonts w:ascii="標楷體" w:eastAsia="標楷體" w:hAnsi="標楷體" w:cs="新細明體"/>
                <w:kern w:val="0"/>
              </w:rPr>
            </w:pPr>
          </w:p>
        </w:tc>
        <w:tc>
          <w:tcPr>
            <w:tcW w:w="2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企業管理科</w:t>
            </w:r>
          </w:p>
        </w:tc>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50</w:t>
            </w:r>
          </w:p>
        </w:tc>
      </w:tr>
      <w:tr w:rsidR="003A1049" w:rsidRPr="00E718C1" w:rsidTr="00C50841">
        <w:tc>
          <w:tcPr>
            <w:tcW w:w="0" w:type="auto"/>
            <w:vMerge/>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rPr>
                <w:rFonts w:ascii="標楷體" w:eastAsia="標楷體" w:hAnsi="標楷體" w:cs="新細明體"/>
                <w:kern w:val="0"/>
              </w:rPr>
            </w:pPr>
          </w:p>
        </w:tc>
        <w:tc>
          <w:tcPr>
            <w:tcW w:w="2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應用外語科</w:t>
            </w:r>
          </w:p>
        </w:tc>
        <w:tc>
          <w:tcPr>
            <w:tcW w:w="750" w:type="pct"/>
            <w:tcBorders>
              <w:top w:val="outset" w:sz="6" w:space="0" w:color="2E4352"/>
              <w:left w:val="outset" w:sz="6" w:space="0" w:color="2E4352"/>
              <w:bottom w:val="outset" w:sz="6" w:space="0" w:color="2E4352"/>
              <w:right w:val="outset" w:sz="6" w:space="0" w:color="2E4352"/>
            </w:tcBorders>
            <w:vAlign w:val="center"/>
            <w:hideMark/>
          </w:tcPr>
          <w:p w:rsidR="003A1049" w:rsidRPr="00E718C1" w:rsidRDefault="003A1049" w:rsidP="003A1049">
            <w:pPr>
              <w:widowControl/>
              <w:spacing w:line="280" w:lineRule="exact"/>
              <w:jc w:val="center"/>
              <w:rPr>
                <w:rFonts w:ascii="標楷體" w:eastAsia="標楷體" w:hAnsi="標楷體" w:cs="新細明體"/>
                <w:kern w:val="0"/>
              </w:rPr>
            </w:pPr>
            <w:r w:rsidRPr="00E718C1">
              <w:rPr>
                <w:rFonts w:ascii="標楷體" w:eastAsia="標楷體" w:hAnsi="標楷體" w:cs="新細明體"/>
                <w:kern w:val="0"/>
              </w:rPr>
              <w:t>50</w:t>
            </w:r>
          </w:p>
        </w:tc>
      </w:tr>
    </w:tbl>
    <w:p w:rsidR="00690618" w:rsidRPr="003A1049" w:rsidRDefault="00690618" w:rsidP="003A1049"/>
    <w:sectPr w:rsidR="00690618" w:rsidRPr="003A1049" w:rsidSect="003A1049">
      <w:pgSz w:w="11906" w:h="16838"/>
      <w:pgMar w:top="1134"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94C65"/>
    <w:multiLevelType w:val="multilevel"/>
    <w:tmpl w:val="EB68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A5"/>
    <w:rsid w:val="002D56A5"/>
    <w:rsid w:val="003A1049"/>
    <w:rsid w:val="006906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am.jente.edu.tw/" TargetMode="External"/><Relationship Id="rId3" Type="http://schemas.microsoft.com/office/2007/relationships/stylesWithEffects" Target="stylesWithEffects.xml"/><Relationship Id="rId7" Type="http://schemas.openxmlformats.org/officeDocument/2006/relationships/hyperlink" Target="http://enter5.fit.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moe.edu.tw/junior/show_page.php?pid=2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cial5.wzu.edu.tw/" TargetMode="External"/><Relationship Id="rId4" Type="http://schemas.openxmlformats.org/officeDocument/2006/relationships/settings" Target="settings.xml"/><Relationship Id="rId9" Type="http://schemas.openxmlformats.org/officeDocument/2006/relationships/hyperlink" Target="http://s5.szm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顏慕德</dc:creator>
  <cp:keywords/>
  <dc:description/>
  <cp:lastModifiedBy>顏慕德</cp:lastModifiedBy>
  <cp:revision>2</cp:revision>
  <dcterms:created xsi:type="dcterms:W3CDTF">2013-12-20T03:19:00Z</dcterms:created>
  <dcterms:modified xsi:type="dcterms:W3CDTF">2013-12-20T03:27:00Z</dcterms:modified>
</cp:coreProperties>
</file>